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31BA" w14:textId="330B32DE" w:rsidR="002E5ACD" w:rsidRPr="006D6F24" w:rsidRDefault="006A3CD9" w:rsidP="001308C4">
      <w:pPr>
        <w:spacing w:after="240" w:line="276" w:lineRule="auto"/>
        <w:jc w:val="center"/>
        <w:rPr>
          <w:rFonts w:eastAsia="Times New Roman" w:cs="Times New Roman"/>
          <w:b/>
          <w:sz w:val="28"/>
          <w:szCs w:val="28"/>
          <w:lang w:eastAsia="hu-HU"/>
        </w:rPr>
      </w:pPr>
      <w:r w:rsidRPr="00CA6893">
        <w:rPr>
          <w:rFonts w:eastAsia="Times New Roman" w:cs="Times New Roman"/>
          <w:b/>
          <w:sz w:val="28"/>
          <w:szCs w:val="28"/>
          <w:lang w:eastAsia="hu-HU"/>
        </w:rPr>
        <w:t>Ismertető az iratkezelési szabályzatokról, illetve az irattári tervekről</w:t>
      </w:r>
    </w:p>
    <w:p w14:paraId="7A7A4CDC" w14:textId="77777777" w:rsidR="00704428" w:rsidRPr="00FD33BD" w:rsidRDefault="007B3900" w:rsidP="001308C4">
      <w:pPr>
        <w:pStyle w:val="Szvegtrzs"/>
        <w:spacing w:before="120" w:line="276" w:lineRule="auto"/>
        <w:jc w:val="both"/>
        <w:rPr>
          <w:rFonts w:cs="Times New Roman"/>
          <w:b/>
          <w:iCs/>
        </w:rPr>
      </w:pPr>
      <w:r w:rsidRPr="00FD33BD">
        <w:rPr>
          <w:rFonts w:cs="Times New Roman"/>
          <w:b/>
          <w:iCs/>
        </w:rPr>
        <w:t>I. Általános alapelvek</w:t>
      </w:r>
    </w:p>
    <w:p w14:paraId="40E39F24" w14:textId="68DCDB8B" w:rsidR="007B3900" w:rsidRPr="006A3CD9" w:rsidRDefault="00704428" w:rsidP="001308C4">
      <w:pPr>
        <w:pStyle w:val="Szvegtrzs"/>
        <w:spacing w:after="0" w:line="276" w:lineRule="auto"/>
        <w:jc w:val="both"/>
        <w:rPr>
          <w:rFonts w:cs="Times New Roman"/>
        </w:rPr>
      </w:pPr>
      <w:r>
        <w:rPr>
          <w:rFonts w:cs="Times New Roman"/>
        </w:rPr>
        <w:t>–</w:t>
      </w:r>
      <w:r w:rsidR="006A3CD9" w:rsidRPr="006A3CD9">
        <w:rPr>
          <w:rFonts w:cs="Times New Roman"/>
        </w:rPr>
        <w:t xml:space="preserve"> </w:t>
      </w:r>
      <w:r w:rsidR="007B3900" w:rsidRPr="006A3CD9">
        <w:rPr>
          <w:rFonts w:cs="Times New Roman"/>
        </w:rPr>
        <w:t xml:space="preserve">Az 1995. évi LXVI. törvény </w:t>
      </w:r>
      <w:r w:rsidR="006D6F24">
        <w:rPr>
          <w:rFonts w:cs="Times New Roman"/>
        </w:rPr>
        <w:t xml:space="preserve">(továbbiakban: Ltv.) </w:t>
      </w:r>
      <w:r w:rsidR="007B3900" w:rsidRPr="006A3CD9">
        <w:rPr>
          <w:rFonts w:cs="Times New Roman"/>
        </w:rPr>
        <w:t>10. § (7): „</w:t>
      </w:r>
      <w:r w:rsidR="007B3900" w:rsidRPr="006A3CD9">
        <w:rPr>
          <w:rFonts w:cs="Times New Roman"/>
          <w:i/>
          <w:iCs/>
        </w:rPr>
        <w:t>A Magyar Nemzeti Levéltár, az illetékes közlevéltár és a kultúráért felelős miniszter egyetértési joga az irattári tételek kialakításával és a nem selejtezhető irattári tételek kijelölésével, továbbá a nem selejtezhető iratok levéltári használatát befolyásoló előírásokkal összefüggő kérdésekre terjed ki”.</w:t>
      </w:r>
    </w:p>
    <w:p w14:paraId="08ACBFD5" w14:textId="0A69AA78" w:rsidR="008A0AF1" w:rsidRPr="006D6F24" w:rsidRDefault="00704428" w:rsidP="001308C4">
      <w:pPr>
        <w:pStyle w:val="Szvegtrzs"/>
        <w:spacing w:after="0" w:line="276" w:lineRule="auto"/>
        <w:jc w:val="both"/>
        <w:rPr>
          <w:rFonts w:cs="Times New Roman"/>
          <w:i/>
          <w:iCs/>
        </w:rPr>
      </w:pPr>
      <w:r>
        <w:rPr>
          <w:rFonts w:cs="Times New Roman"/>
        </w:rPr>
        <w:t>–</w:t>
      </w:r>
      <w:r w:rsidR="006A3CD9" w:rsidRPr="006A3CD9">
        <w:rPr>
          <w:rFonts w:cs="Times New Roman"/>
        </w:rPr>
        <w:t xml:space="preserve"> </w:t>
      </w:r>
      <w:r w:rsidR="007B3900" w:rsidRPr="006A3CD9">
        <w:rPr>
          <w:rFonts w:cs="Times New Roman"/>
        </w:rPr>
        <w:t xml:space="preserve">Az </w:t>
      </w:r>
      <w:r w:rsidR="006D6F24">
        <w:rPr>
          <w:rFonts w:cs="Times New Roman"/>
        </w:rPr>
        <w:t>Ltv.</w:t>
      </w:r>
      <w:r w:rsidR="007B3900" w:rsidRPr="006A3CD9">
        <w:rPr>
          <w:rFonts w:cs="Times New Roman"/>
        </w:rPr>
        <w:t xml:space="preserve"> 10. § (9): </w:t>
      </w:r>
      <w:r w:rsidR="007B3900" w:rsidRPr="006A3CD9">
        <w:rPr>
          <w:rFonts w:cs="Times New Roman"/>
          <w:i/>
          <w:iCs/>
        </w:rPr>
        <w:t>„Az irattári terv az iratkezelési szabályzat szerves részét képezi, annak kötelező mellékleteként. Elfogadási rendje – kivéve az önkormányzati hivatal, az állami és helyi önkormányzati intézmények meghatározott csoportja részére kiadott egységes irattári terveket – nem válik el az iratkezelési szabályzattól.”</w:t>
      </w:r>
    </w:p>
    <w:p w14:paraId="3E1701F7" w14:textId="77777777" w:rsidR="007B3900" w:rsidRPr="006D6F24" w:rsidRDefault="007B3900" w:rsidP="001308C4">
      <w:pPr>
        <w:pStyle w:val="Szvegtrzs"/>
        <w:spacing w:before="120" w:line="276" w:lineRule="auto"/>
        <w:jc w:val="both"/>
        <w:rPr>
          <w:rFonts w:cs="Times New Roman"/>
          <w:b/>
          <w:iCs/>
        </w:rPr>
      </w:pPr>
      <w:r w:rsidRPr="006D6F24">
        <w:rPr>
          <w:rFonts w:cs="Times New Roman"/>
          <w:b/>
          <w:iCs/>
        </w:rPr>
        <w:t>II. Az iratkez</w:t>
      </w:r>
      <w:r w:rsidR="006A3CD9" w:rsidRPr="006D6F24">
        <w:rPr>
          <w:rFonts w:cs="Times New Roman"/>
          <w:b/>
          <w:iCs/>
        </w:rPr>
        <w:t xml:space="preserve">elési szabályzatok </w:t>
      </w:r>
      <w:r w:rsidR="00ED45B5" w:rsidRPr="006D6F24">
        <w:rPr>
          <w:rFonts w:cs="Times New Roman"/>
          <w:b/>
          <w:iCs/>
        </w:rPr>
        <w:t>kötelező elemei</w:t>
      </w:r>
    </w:p>
    <w:p w14:paraId="4C8A3990" w14:textId="77777777" w:rsidR="001C1011" w:rsidRPr="00FD33BD" w:rsidRDefault="001C1011" w:rsidP="001308C4">
      <w:pPr>
        <w:tabs>
          <w:tab w:val="left" w:pos="900"/>
        </w:tabs>
        <w:spacing w:line="276" w:lineRule="auto"/>
        <w:jc w:val="both"/>
        <w:rPr>
          <w:rFonts w:cs="Times New Roman"/>
          <w:b/>
          <w:i/>
        </w:rPr>
      </w:pPr>
      <w:r w:rsidRPr="00FD33BD">
        <w:rPr>
          <w:rFonts w:cs="Times New Roman"/>
          <w:b/>
          <w:i/>
        </w:rPr>
        <w:t xml:space="preserve">– Bevezetés: </w:t>
      </w:r>
    </w:p>
    <w:p w14:paraId="7BC8EF11" w14:textId="3BCC5784" w:rsidR="00FD33BD" w:rsidRDefault="00FD33BD" w:rsidP="001308C4">
      <w:pPr>
        <w:pStyle w:val="Listaszerbekezds"/>
        <w:numPr>
          <w:ilvl w:val="0"/>
          <w:numId w:val="6"/>
        </w:numPr>
        <w:tabs>
          <w:tab w:val="left" w:pos="900"/>
        </w:tabs>
        <w:spacing w:line="276" w:lineRule="auto"/>
        <w:jc w:val="both"/>
        <w:rPr>
          <w:rFonts w:cs="Times New Roman"/>
        </w:rPr>
      </w:pPr>
      <w:r>
        <w:rPr>
          <w:rFonts w:cs="Times New Roman"/>
        </w:rPr>
        <w:t>T</w:t>
      </w:r>
      <w:r w:rsidR="001C1011" w:rsidRPr="00227076">
        <w:rPr>
          <w:rFonts w:cs="Times New Roman"/>
        </w:rPr>
        <w:t>árgyi</w:t>
      </w:r>
      <w:r>
        <w:rPr>
          <w:rFonts w:cs="Times New Roman"/>
        </w:rPr>
        <w:t>, időbeli és személyi hatály</w:t>
      </w:r>
      <w:r w:rsidR="009F4D61">
        <w:rPr>
          <w:rFonts w:cs="Times New Roman"/>
        </w:rPr>
        <w:t xml:space="preserve"> tisztázása</w:t>
      </w:r>
      <w:r>
        <w:rPr>
          <w:rFonts w:cs="Times New Roman"/>
        </w:rPr>
        <w:t>.</w:t>
      </w:r>
    </w:p>
    <w:p w14:paraId="118ECEA1" w14:textId="5671BD82" w:rsidR="00FD33BD" w:rsidRDefault="00FD33BD" w:rsidP="001308C4">
      <w:pPr>
        <w:pStyle w:val="Listaszerbekezds"/>
        <w:numPr>
          <w:ilvl w:val="0"/>
          <w:numId w:val="6"/>
        </w:numPr>
        <w:tabs>
          <w:tab w:val="left" w:pos="900"/>
        </w:tabs>
        <w:spacing w:line="276" w:lineRule="auto"/>
        <w:jc w:val="both"/>
        <w:rPr>
          <w:rFonts w:cs="Times New Roman"/>
        </w:rPr>
      </w:pPr>
      <w:r>
        <w:rPr>
          <w:rFonts w:cs="Times New Roman"/>
        </w:rPr>
        <w:t>Jogszabályi hivatkozások.</w:t>
      </w:r>
    </w:p>
    <w:p w14:paraId="347AC5EB" w14:textId="283896F4" w:rsidR="001C1011" w:rsidRPr="00227076" w:rsidRDefault="00FD33BD" w:rsidP="001308C4">
      <w:pPr>
        <w:pStyle w:val="Listaszerbekezds"/>
        <w:numPr>
          <w:ilvl w:val="0"/>
          <w:numId w:val="6"/>
        </w:numPr>
        <w:tabs>
          <w:tab w:val="left" w:pos="900"/>
        </w:tabs>
        <w:spacing w:line="276" w:lineRule="auto"/>
        <w:jc w:val="both"/>
        <w:rPr>
          <w:rFonts w:cs="Times New Roman"/>
        </w:rPr>
      </w:pPr>
      <w:r>
        <w:rPr>
          <w:rFonts w:cs="Times New Roman"/>
        </w:rPr>
        <w:t>A</w:t>
      </w:r>
      <w:r w:rsidR="001C1011" w:rsidRPr="00227076">
        <w:rPr>
          <w:rFonts w:cs="Times New Roman"/>
        </w:rPr>
        <w:t xml:space="preserve"> levéltári illetékesség megállapítása, fogalom-meghatározások</w:t>
      </w:r>
      <w:r>
        <w:rPr>
          <w:rFonts w:cs="Times New Roman"/>
        </w:rPr>
        <w:t xml:space="preserve">: </w:t>
      </w:r>
      <w:r w:rsidR="001C1011" w:rsidRPr="00227076">
        <w:rPr>
          <w:rFonts w:cs="Times New Roman"/>
        </w:rPr>
        <w:t xml:space="preserve">az </w:t>
      </w:r>
      <w:r w:rsidR="006D6F24">
        <w:rPr>
          <w:rFonts w:cs="Times New Roman"/>
        </w:rPr>
        <w:t>Ltv</w:t>
      </w:r>
      <w:r w:rsidR="001C1011" w:rsidRPr="00C73299">
        <w:rPr>
          <w:rFonts w:cs="Times New Roman"/>
        </w:rPr>
        <w:t xml:space="preserve">., </w:t>
      </w:r>
      <w:r w:rsidR="001C1011" w:rsidRPr="00C44D33">
        <w:rPr>
          <w:rFonts w:cs="Times New Roman"/>
        </w:rPr>
        <w:t>a 335/2005. Korm.</w:t>
      </w:r>
      <w:r>
        <w:rPr>
          <w:rFonts w:cs="Times New Roman"/>
        </w:rPr>
        <w:t xml:space="preserve"> </w:t>
      </w:r>
      <w:r w:rsidR="001C1011" w:rsidRPr="00C44D33">
        <w:rPr>
          <w:rFonts w:cs="Times New Roman"/>
        </w:rPr>
        <w:t>rend., illetve</w:t>
      </w:r>
      <w:r w:rsidR="009F4D61">
        <w:rPr>
          <w:rFonts w:cs="Times New Roman"/>
        </w:rPr>
        <w:t>,</w:t>
      </w:r>
      <w:r w:rsidR="001C1011" w:rsidRPr="00C44D33">
        <w:rPr>
          <w:rFonts w:cs="Times New Roman"/>
        </w:rPr>
        <w:t xml:space="preserve"> ha elektronikus iratkezelés van, akkor a </w:t>
      </w:r>
      <w:r w:rsidR="001C1011">
        <w:t xml:space="preserve">3/2018. (II.21.) BM-rendelet releváns fogalmi meghatározásai szerepeljenek, legalább utalás szintjén – különösen az utóbbi években változott, illetve új fogalmakra figyelni kell: </w:t>
      </w:r>
      <w:r w:rsidR="001C1011" w:rsidRPr="00C44D33">
        <w:rPr>
          <w:i/>
        </w:rPr>
        <w:t>közfeladatot ellátó szerv</w:t>
      </w:r>
      <w:r w:rsidR="009F4D61">
        <w:rPr>
          <w:i/>
        </w:rPr>
        <w:t>,</w:t>
      </w:r>
      <w:r w:rsidR="001C1011" w:rsidRPr="00C44D33">
        <w:rPr>
          <w:i/>
        </w:rPr>
        <w:t xml:space="preserve"> irat, iratkezelés, iratkezelési szoftver, mintavétel, selejtezés, kényszerselejtezés, megsemmisítés.</w:t>
      </w:r>
    </w:p>
    <w:p w14:paraId="6507A5F4" w14:textId="54336718" w:rsidR="001C1011" w:rsidRPr="00227076" w:rsidRDefault="001C1011" w:rsidP="001308C4">
      <w:pPr>
        <w:pStyle w:val="Listaszerbekezds"/>
        <w:numPr>
          <w:ilvl w:val="0"/>
          <w:numId w:val="6"/>
        </w:numPr>
        <w:tabs>
          <w:tab w:val="left" w:pos="900"/>
        </w:tabs>
        <w:spacing w:line="276" w:lineRule="auto"/>
        <w:jc w:val="both"/>
        <w:rPr>
          <w:rFonts w:cs="Times New Roman"/>
        </w:rPr>
      </w:pPr>
      <w:r w:rsidRPr="00227076">
        <w:rPr>
          <w:rFonts w:cs="Times New Roman"/>
        </w:rPr>
        <w:t>Az iratkezelésért felelős vezető beosztása, felügyelet leírása (335/2005. Korm. rend. 5</w:t>
      </w:r>
      <w:r w:rsidRPr="00227076">
        <w:rPr>
          <w:rFonts w:eastAsia="Times New Roman" w:cs="Times New Roman"/>
        </w:rPr>
        <w:t>–</w:t>
      </w:r>
      <w:r w:rsidRPr="00227076">
        <w:rPr>
          <w:rFonts w:cs="Times New Roman"/>
        </w:rPr>
        <w:t>6.§).</w:t>
      </w:r>
    </w:p>
    <w:p w14:paraId="71767CD2" w14:textId="49826B62" w:rsidR="001C1011" w:rsidRPr="00227076" w:rsidRDefault="001C1011" w:rsidP="001308C4">
      <w:pPr>
        <w:pStyle w:val="Listaszerbekezds"/>
        <w:numPr>
          <w:ilvl w:val="0"/>
          <w:numId w:val="6"/>
        </w:numPr>
        <w:tabs>
          <w:tab w:val="left" w:pos="900"/>
        </w:tabs>
        <w:spacing w:line="276" w:lineRule="auto"/>
        <w:jc w:val="both"/>
        <w:rPr>
          <w:rFonts w:cs="Times New Roman"/>
        </w:rPr>
      </w:pPr>
      <w:r w:rsidRPr="00227076">
        <w:rPr>
          <w:rFonts w:cs="Times New Roman"/>
        </w:rPr>
        <w:t xml:space="preserve">Az iratkezelés rendszere </w:t>
      </w:r>
      <w:r w:rsidRPr="00227076">
        <w:rPr>
          <w:rFonts w:cs="Times New Roman"/>
          <w:color w:val="000000"/>
        </w:rPr>
        <w:t>az iktatókönyvek szempontjából</w:t>
      </w:r>
      <w:r w:rsidR="006D6F24">
        <w:rPr>
          <w:rFonts w:cs="Times New Roman"/>
        </w:rPr>
        <w:t xml:space="preserve">: </w:t>
      </w:r>
      <w:r w:rsidRPr="00227076">
        <w:rPr>
          <w:rFonts w:cs="Times New Roman"/>
        </w:rPr>
        <w:t>centralizált – decentralizált – vegyes (335/2005. Korm. rend. 16.§ (1)).</w:t>
      </w:r>
    </w:p>
    <w:p w14:paraId="232BD6D6" w14:textId="77777777" w:rsidR="00FD33BD" w:rsidRDefault="001C1011" w:rsidP="001308C4">
      <w:pPr>
        <w:pStyle w:val="Listaszerbekezds"/>
        <w:numPr>
          <w:ilvl w:val="0"/>
          <w:numId w:val="6"/>
        </w:numPr>
        <w:tabs>
          <w:tab w:val="left" w:pos="900"/>
        </w:tabs>
        <w:spacing w:line="276" w:lineRule="auto"/>
        <w:jc w:val="both"/>
        <w:rPr>
          <w:rFonts w:cs="Times New Roman"/>
        </w:rPr>
      </w:pPr>
      <w:r w:rsidRPr="00227076">
        <w:rPr>
          <w:rFonts w:cs="Times New Roman"/>
        </w:rPr>
        <w:t>Az iratkezelés manuális vagy elektronikus-e.</w:t>
      </w:r>
    </w:p>
    <w:p w14:paraId="0BA0D792" w14:textId="0DB3337C" w:rsidR="001C1011" w:rsidRPr="00FD33BD" w:rsidRDefault="001C1011" w:rsidP="001308C4">
      <w:pPr>
        <w:pStyle w:val="Listaszerbekezds"/>
        <w:numPr>
          <w:ilvl w:val="0"/>
          <w:numId w:val="6"/>
        </w:numPr>
        <w:tabs>
          <w:tab w:val="left" w:pos="900"/>
        </w:tabs>
        <w:spacing w:line="276" w:lineRule="auto"/>
        <w:jc w:val="both"/>
        <w:rPr>
          <w:rFonts w:cs="Times New Roman"/>
        </w:rPr>
      </w:pPr>
      <w:r w:rsidRPr="00FD33BD">
        <w:rPr>
          <w:rFonts w:cs="Times New Roman"/>
        </w:rPr>
        <w:t xml:space="preserve">Elektronikus iktatás esetén a szoftver akkreditációja (a szoftver neve és verziószáma: </w:t>
      </w:r>
      <w:r w:rsidR="006D6F24">
        <w:rPr>
          <w:rFonts w:cs="Times New Roman"/>
        </w:rPr>
        <w:t>Ltv</w:t>
      </w:r>
      <w:r w:rsidRPr="00FD33BD">
        <w:rPr>
          <w:rFonts w:cs="Times New Roman"/>
        </w:rPr>
        <w:t xml:space="preserve">. 9.§ (2): </w:t>
      </w:r>
      <w:r w:rsidRPr="00FD33BD">
        <w:rPr>
          <w:rFonts w:cs="Times New Roman"/>
          <w:i/>
          <w:iCs/>
        </w:rPr>
        <w:t>„</w:t>
      </w:r>
      <w:r w:rsidRPr="00FD33BD">
        <w:rPr>
          <w:i/>
          <w:iCs/>
        </w:rPr>
        <w:t>Elektronikus iratkezelés esetén a közfeladatot ellátó szerv kizárólag olyan iratkezelési szoftvert alkalmazhat, amely a külön jogszabályban meghatározott követelményeknek megfelel és tanúsítvánnyal rendelkezik.”</w:t>
      </w:r>
      <w:r w:rsidRPr="006A3CD9">
        <w:t>)</w:t>
      </w:r>
      <w:r>
        <w:t xml:space="preserve"> Jelenleg a 3/2018. (II.21.) BM-rendelet szabályozza a közfeladatot ellátó szerveknél alkalmazható iratkezelési szoftverekkel kapcsolatos követelményeket.</w:t>
      </w:r>
    </w:p>
    <w:p w14:paraId="13B32837" w14:textId="51DEA584" w:rsidR="007B3900" w:rsidRPr="006A3CD9" w:rsidRDefault="006A3CD9" w:rsidP="001308C4">
      <w:pPr>
        <w:pStyle w:val="Szvegtrzs"/>
        <w:spacing w:after="0" w:line="276" w:lineRule="auto"/>
        <w:jc w:val="both"/>
        <w:rPr>
          <w:rFonts w:cs="Times New Roman"/>
        </w:rPr>
      </w:pPr>
      <w:r w:rsidRPr="006A3CD9">
        <w:t xml:space="preserve">– </w:t>
      </w:r>
      <w:r w:rsidR="00A7268D" w:rsidRPr="00FD33BD">
        <w:rPr>
          <w:rFonts w:cs="Times New Roman"/>
          <w:b/>
          <w:i/>
          <w:color w:val="000000"/>
        </w:rPr>
        <w:t>Az iratkezelés folyamata:</w:t>
      </w:r>
      <w:r w:rsidR="00A7268D" w:rsidRPr="006A3CD9">
        <w:t xml:space="preserve"> </w:t>
      </w:r>
      <w:r w:rsidR="007B3900" w:rsidRPr="006A3CD9">
        <w:rPr>
          <w:rFonts w:cs="Times New Roman"/>
        </w:rPr>
        <w:t>fő fejezetek</w:t>
      </w:r>
      <w:r w:rsidR="00A7268D">
        <w:rPr>
          <w:rFonts w:cs="Times New Roman"/>
        </w:rPr>
        <w:t xml:space="preserve"> (</w:t>
      </w:r>
      <w:r w:rsidR="00A7268D" w:rsidRPr="006A3CD9">
        <w:rPr>
          <w:rFonts w:cs="Times New Roman"/>
        </w:rPr>
        <w:t xml:space="preserve">335/2005. </w:t>
      </w:r>
      <w:r w:rsidR="00A7268D">
        <w:rPr>
          <w:rFonts w:cs="Times New Roman"/>
        </w:rPr>
        <w:t xml:space="preserve">(XII.29.) </w:t>
      </w:r>
      <w:r w:rsidR="00FD33BD">
        <w:rPr>
          <w:rFonts w:cs="Times New Roman"/>
        </w:rPr>
        <w:t>K</w:t>
      </w:r>
      <w:r w:rsidR="00A7268D" w:rsidRPr="006A3CD9">
        <w:rPr>
          <w:rFonts w:cs="Times New Roman"/>
        </w:rPr>
        <w:t>orm</w:t>
      </w:r>
      <w:r w:rsidR="00FD33BD">
        <w:rPr>
          <w:rFonts w:cs="Times New Roman"/>
        </w:rPr>
        <w:t xml:space="preserve">. </w:t>
      </w:r>
      <w:r w:rsidR="00A7268D" w:rsidRPr="006A3CD9">
        <w:rPr>
          <w:rFonts w:cs="Times New Roman"/>
        </w:rPr>
        <w:t>rend</w:t>
      </w:r>
      <w:r w:rsidR="00FD33BD">
        <w:rPr>
          <w:rFonts w:cs="Times New Roman"/>
        </w:rPr>
        <w:t>.</w:t>
      </w:r>
      <w:r w:rsidR="00A7268D">
        <w:rPr>
          <w:rFonts w:cs="Times New Roman"/>
        </w:rPr>
        <w:t>)</w:t>
      </w:r>
      <w:r w:rsidR="007B3900" w:rsidRPr="006A3CD9">
        <w:rPr>
          <w:rFonts w:cs="Times New Roman"/>
        </w:rPr>
        <w:t xml:space="preserve">: </w:t>
      </w:r>
      <w:r w:rsidR="007B3900" w:rsidRPr="00C44D33">
        <w:rPr>
          <w:rFonts w:cs="Times New Roman"/>
          <w:i/>
        </w:rPr>
        <w:t>átvétel; postabontás; érkeztetés; iktatás; szignálás; kiadmányozás; expediálás; irattárazá</w:t>
      </w:r>
      <w:r w:rsidR="00ED45B5" w:rsidRPr="00C44D33">
        <w:rPr>
          <w:rFonts w:cs="Times New Roman"/>
          <w:i/>
        </w:rPr>
        <w:t>s; selejtezés; levéltári átadás</w:t>
      </w:r>
      <w:r w:rsidR="00CA6893">
        <w:rPr>
          <w:rFonts w:cs="Times New Roman"/>
        </w:rPr>
        <w:t>.</w:t>
      </w:r>
    </w:p>
    <w:p w14:paraId="32E87AAA" w14:textId="77777777" w:rsidR="007B3900" w:rsidRPr="006A3CD9" w:rsidRDefault="006A3CD9" w:rsidP="001308C4">
      <w:pPr>
        <w:tabs>
          <w:tab w:val="left" w:pos="900"/>
        </w:tabs>
        <w:spacing w:line="276" w:lineRule="auto"/>
        <w:jc w:val="both"/>
      </w:pPr>
      <w:r w:rsidRPr="006A3CD9">
        <w:rPr>
          <w:rFonts w:cs="Times New Roman"/>
        </w:rPr>
        <w:t xml:space="preserve">– </w:t>
      </w:r>
      <w:r w:rsidR="007B3900" w:rsidRPr="006A3CD9">
        <w:t xml:space="preserve">Az </w:t>
      </w:r>
      <w:r w:rsidR="00ED45B5">
        <w:t>é</w:t>
      </w:r>
      <w:r w:rsidR="007B3900" w:rsidRPr="006A3CD9">
        <w:t>rkeztetési nyilvántartás kötelező adatai (</w:t>
      </w:r>
      <w:r w:rsidR="007B3900" w:rsidRPr="006A3CD9">
        <w:rPr>
          <w:rFonts w:cs="Times New Roman"/>
        </w:rPr>
        <w:t>335/2005. Korm. rend.</w:t>
      </w:r>
      <w:r w:rsidR="007B3900" w:rsidRPr="006A3CD9">
        <w:t xml:space="preserve"> 34.§ (2)).</w:t>
      </w:r>
      <w:r w:rsidR="007B3900" w:rsidRPr="006A3CD9">
        <w:rPr>
          <w:rFonts w:eastAsia="Times New Roman" w:cs="Times New Roman"/>
        </w:rPr>
        <w:t xml:space="preserve"> </w:t>
      </w:r>
      <w:r w:rsidR="007B3900" w:rsidRPr="006A3CD9">
        <w:rPr>
          <w:color w:val="000000"/>
        </w:rPr>
        <w:t xml:space="preserve">Ha több érkeztetési </w:t>
      </w:r>
      <w:r w:rsidR="00CA6893">
        <w:rPr>
          <w:color w:val="000000"/>
        </w:rPr>
        <w:t>hely</w:t>
      </w:r>
      <w:r w:rsidR="007B3900" w:rsidRPr="006A3CD9">
        <w:rPr>
          <w:color w:val="000000"/>
        </w:rPr>
        <w:t xml:space="preserve"> van, akkor pontosan le kell írni, hányféleképpen képzik az érkeztetési számot </w:t>
      </w:r>
      <w:r w:rsidR="00ED45B5">
        <w:rPr>
          <w:color w:val="000000"/>
        </w:rPr>
        <w:t>(h</w:t>
      </w:r>
      <w:r w:rsidR="007B3900" w:rsidRPr="006A3CD9">
        <w:rPr>
          <w:color w:val="000000"/>
        </w:rPr>
        <w:t>a azonnal beiktatják a beadv</w:t>
      </w:r>
      <w:r w:rsidR="00ED45B5">
        <w:rPr>
          <w:color w:val="000000"/>
        </w:rPr>
        <w:t>ányt, akkor nem kell érkeztetni, de ha</w:t>
      </w:r>
      <w:r w:rsidR="00ED45B5" w:rsidRPr="00ED45B5">
        <w:rPr>
          <w:color w:val="000000"/>
        </w:rPr>
        <w:t xml:space="preserve"> </w:t>
      </w:r>
      <w:r w:rsidR="00ED45B5" w:rsidRPr="006A3CD9">
        <w:rPr>
          <w:color w:val="000000"/>
        </w:rPr>
        <w:t xml:space="preserve">nem kívánnak érkeztetni, arról </w:t>
      </w:r>
      <w:r w:rsidR="00ED45B5">
        <w:rPr>
          <w:color w:val="000000"/>
        </w:rPr>
        <w:t xml:space="preserve">is </w:t>
      </w:r>
      <w:r w:rsidR="005532BF">
        <w:rPr>
          <w:color w:val="000000"/>
        </w:rPr>
        <w:t xml:space="preserve">külön </w:t>
      </w:r>
      <w:r w:rsidR="00ED45B5" w:rsidRPr="006A3CD9">
        <w:rPr>
          <w:color w:val="000000"/>
        </w:rPr>
        <w:t>rendelkezni kell</w:t>
      </w:r>
      <w:r w:rsidR="007B3900" w:rsidRPr="006A3CD9">
        <w:rPr>
          <w:color w:val="000000"/>
        </w:rPr>
        <w:t>)</w:t>
      </w:r>
      <w:r w:rsidR="00ED45B5">
        <w:rPr>
          <w:color w:val="000000"/>
        </w:rPr>
        <w:t>.</w:t>
      </w:r>
    </w:p>
    <w:p w14:paraId="1BB68B3A" w14:textId="3D447718" w:rsidR="007B3900" w:rsidRPr="006A3CD9" w:rsidRDefault="006A3CD9" w:rsidP="001308C4">
      <w:pPr>
        <w:tabs>
          <w:tab w:val="left" w:pos="900"/>
        </w:tabs>
        <w:spacing w:line="276" w:lineRule="auto"/>
        <w:jc w:val="both"/>
      </w:pPr>
      <w:r w:rsidRPr="006A3CD9">
        <w:rPr>
          <w:rFonts w:cs="Times New Roman"/>
        </w:rPr>
        <w:t xml:space="preserve">– </w:t>
      </w:r>
      <w:r w:rsidR="007B3900" w:rsidRPr="006A3CD9">
        <w:t>Az iktatás kötelező adatai (</w:t>
      </w:r>
      <w:r w:rsidR="007B3900" w:rsidRPr="006A3CD9">
        <w:rPr>
          <w:rFonts w:cs="Times New Roman"/>
        </w:rPr>
        <w:t>335/2005. Korm. rend.</w:t>
      </w:r>
      <w:r w:rsidR="007B3900" w:rsidRPr="006A3CD9">
        <w:t xml:space="preserve"> 39.§ (2))</w:t>
      </w:r>
      <w:r w:rsidR="00227076">
        <w:t>, az iktatószám felépítése (</w:t>
      </w:r>
      <w:r w:rsidR="00227076" w:rsidRPr="006A3CD9">
        <w:rPr>
          <w:rFonts w:cs="Times New Roman"/>
        </w:rPr>
        <w:t>335/2005. Korm. rend.</w:t>
      </w:r>
      <w:r w:rsidR="00227076">
        <w:rPr>
          <w:rFonts w:cs="Times New Roman"/>
        </w:rPr>
        <w:t xml:space="preserve"> 40.§), az iktatás rendszere (</w:t>
      </w:r>
      <w:r w:rsidR="004D2EFA">
        <w:rPr>
          <w:rFonts w:cs="Times New Roman"/>
        </w:rPr>
        <w:t xml:space="preserve">kötelezően </w:t>
      </w:r>
      <w:r w:rsidR="00227076">
        <w:rPr>
          <w:rFonts w:cs="Times New Roman"/>
        </w:rPr>
        <w:t>főszám-alszámos</w:t>
      </w:r>
      <w:r w:rsidR="004D2EFA">
        <w:rPr>
          <w:rFonts w:cs="Times New Roman"/>
        </w:rPr>
        <w:t>[!]</w:t>
      </w:r>
      <w:r w:rsidR="00227076">
        <w:rPr>
          <w:rFonts w:cs="Times New Roman"/>
        </w:rPr>
        <w:t xml:space="preserve">, </w:t>
      </w:r>
      <w:r w:rsidR="00227076" w:rsidRPr="006A3CD9">
        <w:rPr>
          <w:rFonts w:cs="Times New Roman"/>
        </w:rPr>
        <w:t xml:space="preserve">335/2005. </w:t>
      </w:r>
      <w:r w:rsidR="00227076" w:rsidRPr="006A3CD9">
        <w:rPr>
          <w:rFonts w:cs="Times New Roman"/>
        </w:rPr>
        <w:lastRenderedPageBreak/>
        <w:t>Korm. rend.</w:t>
      </w:r>
      <w:r w:rsidR="00227076">
        <w:rPr>
          <w:rFonts w:cs="Times New Roman"/>
        </w:rPr>
        <w:t xml:space="preserve"> 41.§)</w:t>
      </w:r>
      <w:r w:rsidR="00CA6893">
        <w:t>.</w:t>
      </w:r>
    </w:p>
    <w:p w14:paraId="4507DDC7" w14:textId="79489B6A" w:rsidR="007B3900" w:rsidRPr="006A3CD9" w:rsidRDefault="006A3CD9" w:rsidP="001308C4">
      <w:pPr>
        <w:tabs>
          <w:tab w:val="left" w:pos="900"/>
        </w:tabs>
        <w:spacing w:line="276" w:lineRule="auto"/>
        <w:jc w:val="both"/>
      </w:pPr>
      <w:r w:rsidRPr="006A3CD9">
        <w:rPr>
          <w:rFonts w:cs="Times New Roman"/>
        </w:rPr>
        <w:t xml:space="preserve">– </w:t>
      </w:r>
      <w:r w:rsidR="007B3900" w:rsidRPr="006A3CD9">
        <w:t>Pontosan meg kell határozni az iktatásra nem kerülő iratok körét</w:t>
      </w:r>
      <w:r w:rsidR="00227076">
        <w:t xml:space="preserve"> (</w:t>
      </w:r>
      <w:r w:rsidR="00227076" w:rsidRPr="006A3CD9">
        <w:rPr>
          <w:rFonts w:cs="Times New Roman"/>
        </w:rPr>
        <w:t>335/2005. Korm. rend.</w:t>
      </w:r>
      <w:r w:rsidR="00227076">
        <w:rPr>
          <w:rFonts w:cs="Times New Roman"/>
        </w:rPr>
        <w:t xml:space="preserve"> 47.§)</w:t>
      </w:r>
      <w:r w:rsidR="007B3900" w:rsidRPr="006A3CD9">
        <w:t>.</w:t>
      </w:r>
    </w:p>
    <w:p w14:paraId="59D3ED7D" w14:textId="4A27D9F0" w:rsidR="007B3900" w:rsidRPr="006A3CD9" w:rsidRDefault="006A3CD9" w:rsidP="001308C4">
      <w:pPr>
        <w:tabs>
          <w:tab w:val="left" w:pos="900"/>
        </w:tabs>
        <w:spacing w:line="276" w:lineRule="auto"/>
        <w:jc w:val="both"/>
        <w:rPr>
          <w:rFonts w:cs="Times New Roman"/>
        </w:rPr>
      </w:pPr>
      <w:r w:rsidRPr="006A3CD9">
        <w:rPr>
          <w:rFonts w:cs="Times New Roman"/>
        </w:rPr>
        <w:t xml:space="preserve">– </w:t>
      </w:r>
      <w:r w:rsidR="007B3900" w:rsidRPr="006A3CD9">
        <w:t xml:space="preserve">Papír alapú iktatókönyv lezárása: </w:t>
      </w:r>
      <w:r w:rsidR="007B3900" w:rsidRPr="006A3CD9">
        <w:rPr>
          <w:color w:val="000000"/>
        </w:rPr>
        <w:t>hitelesen kell megnyitni, lezárni, időbélyegzővel ellátni.</w:t>
      </w:r>
      <w:r w:rsidR="007B3900" w:rsidRPr="006A3CD9">
        <w:t xml:space="preserve"> </w:t>
      </w:r>
      <w:r w:rsidR="007B3900" w:rsidRPr="00C44D33">
        <w:rPr>
          <w:iCs/>
        </w:rPr>
        <w:t>Elektronikus iktatókönyv</w:t>
      </w:r>
      <w:r w:rsidR="00227076">
        <w:rPr>
          <w:i/>
          <w:iCs/>
        </w:rPr>
        <w:t xml:space="preserve"> </w:t>
      </w:r>
      <w:r w:rsidR="00227076">
        <w:rPr>
          <w:iCs/>
        </w:rPr>
        <w:t>esetén ld.</w:t>
      </w:r>
      <w:r w:rsidR="007B3900" w:rsidRPr="006A3CD9">
        <w:rPr>
          <w:i/>
          <w:iCs/>
        </w:rPr>
        <w:t xml:space="preserve"> </w:t>
      </w:r>
      <w:r w:rsidR="007B3900" w:rsidRPr="006A3CD9">
        <w:rPr>
          <w:rFonts w:cs="Times New Roman"/>
        </w:rPr>
        <w:t>335/2005. Korm. rend.</w:t>
      </w:r>
      <w:r w:rsidR="007B3900" w:rsidRPr="006A3CD9">
        <w:t xml:space="preserve"> 43.§ (3) (4) (5)</w:t>
      </w:r>
      <w:r w:rsidR="00CA6893">
        <w:t>.</w:t>
      </w:r>
    </w:p>
    <w:p w14:paraId="324AB837" w14:textId="77777777" w:rsidR="007B3900" w:rsidRPr="006A3CD9" w:rsidRDefault="006A3CD9" w:rsidP="001308C4">
      <w:pPr>
        <w:tabs>
          <w:tab w:val="left" w:pos="900"/>
        </w:tabs>
        <w:spacing w:line="276" w:lineRule="auto"/>
        <w:jc w:val="both"/>
        <w:rPr>
          <w:rFonts w:cs="Times New Roman"/>
        </w:rPr>
      </w:pPr>
      <w:r w:rsidRPr="00FD33BD">
        <w:rPr>
          <w:rFonts w:cs="Times New Roman"/>
          <w:b/>
          <w:i/>
        </w:rPr>
        <w:t xml:space="preserve">– </w:t>
      </w:r>
      <w:r w:rsidR="007B3900" w:rsidRPr="00FD33BD">
        <w:rPr>
          <w:rFonts w:cs="Times New Roman"/>
          <w:b/>
          <w:i/>
        </w:rPr>
        <w:t>Az irattározás:</w:t>
      </w:r>
      <w:r w:rsidR="007B3900" w:rsidRPr="006A3CD9">
        <w:rPr>
          <w:rFonts w:cs="Times New Roman"/>
        </w:rPr>
        <w:t xml:space="preserve"> </w:t>
      </w:r>
      <w:r w:rsidR="00820409">
        <w:rPr>
          <w:rFonts w:cs="Times New Roman"/>
        </w:rPr>
        <w:t>a</w:t>
      </w:r>
      <w:r w:rsidR="007B3900" w:rsidRPr="006A3CD9">
        <w:rPr>
          <w:rFonts w:cs="Times New Roman"/>
        </w:rPr>
        <w:t xml:space="preserve"> tételszám meghatározás</w:t>
      </w:r>
      <w:r w:rsidR="00CA6893">
        <w:rPr>
          <w:rFonts w:cs="Times New Roman"/>
        </w:rPr>
        <w:t xml:space="preserve">át </w:t>
      </w:r>
      <w:r w:rsidR="007B3900" w:rsidRPr="006A3CD9">
        <w:rPr>
          <w:rFonts w:cs="Times New Roman"/>
        </w:rPr>
        <w:t>az ügyintézőnek legkésőbb az ügy befejezésekor</w:t>
      </w:r>
      <w:r w:rsidR="00CA6893">
        <w:rPr>
          <w:rFonts w:cs="Times New Roman"/>
        </w:rPr>
        <w:t xml:space="preserve"> kell elvégeznie – rávezetve az iratra (elektronikus rendszernél a lezárás előtt kell ezt begépelni)</w:t>
      </w:r>
      <w:r w:rsidR="007B3900" w:rsidRPr="006A3CD9">
        <w:rPr>
          <w:rFonts w:cs="Times New Roman"/>
        </w:rPr>
        <w:t xml:space="preserve">; elkülönítik-e az átmeneti és a központi irattárat </w:t>
      </w:r>
      <w:r w:rsidR="007B3900" w:rsidRPr="006A3CD9">
        <w:rPr>
          <w:rFonts w:cs="Times New Roman"/>
          <w:color w:val="000000"/>
        </w:rPr>
        <w:t>(az átmeneti irattár nem kötelező)</w:t>
      </w:r>
      <w:r w:rsidR="007B3900" w:rsidRPr="006A3CD9">
        <w:rPr>
          <w:rFonts w:cs="Times New Roman"/>
        </w:rPr>
        <w:t>; használnak-e irattári kölcsönzési/ügyiratpótló lapot,</w:t>
      </w:r>
      <w:r w:rsidR="007B3900" w:rsidRPr="006A3CD9">
        <w:rPr>
          <w:rFonts w:cs="Times New Roman"/>
          <w:color w:val="FF0000"/>
        </w:rPr>
        <w:t xml:space="preserve"> </w:t>
      </w:r>
      <w:r w:rsidR="007B3900" w:rsidRPr="006A3CD9">
        <w:rPr>
          <w:rFonts w:cs="Times New Roman"/>
          <w:color w:val="000000"/>
        </w:rPr>
        <w:t>azt nyilvántartják-e</w:t>
      </w:r>
      <w:r w:rsidR="007B3900" w:rsidRPr="006A3CD9">
        <w:rPr>
          <w:rFonts w:cs="Times New Roman"/>
          <w:color w:val="FF0000"/>
        </w:rPr>
        <w:t xml:space="preserve"> </w:t>
      </w:r>
      <w:r w:rsidR="007B3900" w:rsidRPr="006A3CD9">
        <w:rPr>
          <w:rFonts w:cs="Times New Roman"/>
        </w:rPr>
        <w:t>(335/2005. Korm. rend. 60</w:t>
      </w:r>
      <w:r w:rsidR="007B3900" w:rsidRPr="006A3CD9">
        <w:rPr>
          <w:rFonts w:eastAsia="Times New Roman" w:cs="Times New Roman"/>
        </w:rPr>
        <w:t>–</w:t>
      </w:r>
      <w:r w:rsidR="007B3900" w:rsidRPr="006A3CD9">
        <w:rPr>
          <w:rFonts w:cs="Times New Roman"/>
        </w:rPr>
        <w:t>61.§)</w:t>
      </w:r>
      <w:r w:rsidR="005532BF">
        <w:rPr>
          <w:rFonts w:cs="Times New Roman"/>
        </w:rPr>
        <w:t>; m</w:t>
      </w:r>
      <w:r w:rsidR="007B3900" w:rsidRPr="006A3CD9">
        <w:rPr>
          <w:rFonts w:cs="Times New Roman"/>
          <w:color w:val="000000"/>
        </w:rPr>
        <w:t>ilyen rendben kerülnek irattárba az elintézett ügyiratok.</w:t>
      </w:r>
    </w:p>
    <w:p w14:paraId="7789EDB8" w14:textId="63073A74" w:rsidR="007B3900" w:rsidRPr="00503B87" w:rsidRDefault="006A3CD9" w:rsidP="001308C4">
      <w:pPr>
        <w:tabs>
          <w:tab w:val="left" w:pos="900"/>
        </w:tabs>
        <w:spacing w:line="276" w:lineRule="auto"/>
        <w:jc w:val="both"/>
        <w:rPr>
          <w:rFonts w:cs="Times New Roman"/>
        </w:rPr>
      </w:pPr>
      <w:r w:rsidRPr="00503B87">
        <w:rPr>
          <w:rFonts w:cs="Times New Roman"/>
        </w:rPr>
        <w:t xml:space="preserve">– </w:t>
      </w:r>
      <w:r w:rsidR="007B3900" w:rsidRPr="00503B87">
        <w:rPr>
          <w:rFonts w:cs="Times New Roman"/>
          <w:b/>
          <w:i/>
        </w:rPr>
        <w:t>Selejtezés:</w:t>
      </w:r>
      <w:r w:rsidR="007B3900" w:rsidRPr="00503B87">
        <w:rPr>
          <w:rFonts w:cs="Times New Roman"/>
        </w:rPr>
        <w:t xml:space="preserve"> </w:t>
      </w:r>
      <w:r w:rsidR="009F4D61" w:rsidRPr="00503B87">
        <w:rPr>
          <w:rFonts w:cs="Times New Roman"/>
        </w:rPr>
        <w:t>lásd erről a Selejtezes_BFL_2023 dokumentumot.</w:t>
      </w:r>
    </w:p>
    <w:p w14:paraId="7F2A4DF7" w14:textId="4B65AA9D" w:rsidR="00B751F3" w:rsidRPr="00503B87" w:rsidRDefault="00FD33BD" w:rsidP="001308C4">
      <w:pPr>
        <w:tabs>
          <w:tab w:val="left" w:pos="900"/>
        </w:tabs>
        <w:spacing w:line="276" w:lineRule="auto"/>
        <w:jc w:val="both"/>
        <w:rPr>
          <w:rFonts w:cs="Times New Roman"/>
        </w:rPr>
      </w:pPr>
      <w:r w:rsidRPr="00503B87">
        <w:rPr>
          <w:rFonts w:cs="Times New Roman"/>
        </w:rPr>
        <w:t xml:space="preserve">- </w:t>
      </w:r>
      <w:r w:rsidR="00C73299" w:rsidRPr="00503B87">
        <w:rPr>
          <w:rFonts w:cs="Times New Roman"/>
        </w:rPr>
        <w:t>Kényszerselejtezésről külön rendelkezzen az ISZ, ami a szerveknél őrzött jóvátehetetlenül károsodott iratokkal kapcsolatos eljárásról szól (</w:t>
      </w:r>
      <w:r w:rsidR="006D6F24" w:rsidRPr="00503B87">
        <w:rPr>
          <w:rFonts w:cs="Times New Roman"/>
        </w:rPr>
        <w:t>Ltv.</w:t>
      </w:r>
      <w:r w:rsidR="00C73299" w:rsidRPr="00503B87">
        <w:rPr>
          <w:rFonts w:cs="Times New Roman"/>
        </w:rPr>
        <w:t xml:space="preserve"> 9. § (6) és 335/2005. Korm. rend 64. § (7))</w:t>
      </w:r>
    </w:p>
    <w:p w14:paraId="14FDF4C5" w14:textId="44B78057" w:rsidR="007B3900" w:rsidRPr="006A3CD9" w:rsidRDefault="006A3CD9" w:rsidP="001308C4">
      <w:pPr>
        <w:tabs>
          <w:tab w:val="left" w:pos="900"/>
        </w:tabs>
        <w:spacing w:line="276" w:lineRule="auto"/>
        <w:jc w:val="both"/>
        <w:rPr>
          <w:rFonts w:cs="Times New Roman"/>
        </w:rPr>
      </w:pPr>
      <w:r w:rsidRPr="00503B87">
        <w:rPr>
          <w:rFonts w:cs="Times New Roman"/>
        </w:rPr>
        <w:t xml:space="preserve">– </w:t>
      </w:r>
      <w:r w:rsidR="007B3900" w:rsidRPr="00503B87">
        <w:rPr>
          <w:rFonts w:cs="Times New Roman"/>
          <w:b/>
          <w:i/>
        </w:rPr>
        <w:t>Levéltárba adás</w:t>
      </w:r>
      <w:r w:rsidR="005532BF" w:rsidRPr="00503B87">
        <w:rPr>
          <w:rFonts w:cs="Times New Roman"/>
          <w:b/>
          <w:i/>
        </w:rPr>
        <w:t>:</w:t>
      </w:r>
      <w:r w:rsidR="005532BF" w:rsidRPr="00503B87">
        <w:rPr>
          <w:rFonts w:cs="Times New Roman"/>
        </w:rPr>
        <w:t xml:space="preserve"> </w:t>
      </w:r>
      <w:r w:rsidR="009F4D61" w:rsidRPr="00503B87">
        <w:rPr>
          <w:rFonts w:cs="Times New Roman"/>
        </w:rPr>
        <w:t>lásd erről az Atadas_BFL_2023 dokumentumot.</w:t>
      </w:r>
    </w:p>
    <w:p w14:paraId="6DA3E821" w14:textId="023A080A" w:rsidR="007B3900" w:rsidRPr="006A3CD9" w:rsidRDefault="006A3CD9" w:rsidP="001308C4">
      <w:pPr>
        <w:tabs>
          <w:tab w:val="left" w:pos="900"/>
        </w:tabs>
        <w:spacing w:line="276" w:lineRule="auto"/>
        <w:jc w:val="both"/>
        <w:rPr>
          <w:rFonts w:cs="Times New Roman"/>
        </w:rPr>
      </w:pPr>
      <w:r w:rsidRPr="006A3CD9">
        <w:rPr>
          <w:rFonts w:cs="Times New Roman"/>
        </w:rPr>
        <w:t xml:space="preserve">– </w:t>
      </w:r>
      <w:r w:rsidR="007B3900" w:rsidRPr="00FD33BD">
        <w:rPr>
          <w:rFonts w:cs="Times New Roman"/>
          <w:b/>
          <w:i/>
        </w:rPr>
        <w:t>A szerv megszűnése:</w:t>
      </w:r>
      <w:r w:rsidR="007B3900" w:rsidRPr="006A3CD9">
        <w:rPr>
          <w:rFonts w:cs="Times New Roman"/>
        </w:rPr>
        <w:t xml:space="preserve"> a szövegnek tartalmaznia kell, hogy a megszüntetést elrendelő szerv köteles gondoskodni az irattári anyagról; beolvadásnál a jogutód szervhez kerülnek az iratok; több jogutód esetén csak az illetékes közlevéltár engedélyével és csak irattári tételenként lehet megbontani az irattári anyagot; ha jogutód nélkül szűnik meg, a maradandó értékű iratokat közlevéltárba kell adni</w:t>
      </w:r>
      <w:r w:rsidR="005532BF">
        <w:rPr>
          <w:rFonts w:cs="Times New Roman"/>
        </w:rPr>
        <w:t xml:space="preserve">, a többi iratról (béranyagok, jogbiztosító iratok) pedig a </w:t>
      </w:r>
      <w:r w:rsidR="00FD33BD">
        <w:rPr>
          <w:rFonts w:cs="Times New Roman"/>
        </w:rPr>
        <w:t>megszüntető szervnek, felszámolónak, végelszámolónak</w:t>
      </w:r>
      <w:r w:rsidR="005532BF">
        <w:rPr>
          <w:rFonts w:cs="Times New Roman"/>
        </w:rPr>
        <w:t xml:space="preserve"> kell gondoskodnia</w:t>
      </w:r>
      <w:r w:rsidR="007B3900" w:rsidRPr="006A3CD9">
        <w:rPr>
          <w:rFonts w:cs="Times New Roman"/>
        </w:rPr>
        <w:t>.</w:t>
      </w:r>
    </w:p>
    <w:p w14:paraId="4898717A" w14:textId="3CD4FA94" w:rsidR="006A3CD9" w:rsidRPr="006A3CD9" w:rsidRDefault="006A3CD9" w:rsidP="001308C4">
      <w:pPr>
        <w:tabs>
          <w:tab w:val="left" w:pos="900"/>
        </w:tabs>
        <w:spacing w:line="276" w:lineRule="auto"/>
        <w:jc w:val="both"/>
      </w:pPr>
      <w:r w:rsidRPr="006A3CD9">
        <w:rPr>
          <w:rFonts w:cs="Times New Roman"/>
        </w:rPr>
        <w:t xml:space="preserve">– </w:t>
      </w:r>
      <w:r w:rsidR="007B3900" w:rsidRPr="00FD33BD">
        <w:rPr>
          <w:rFonts w:cs="Times New Roman"/>
          <w:b/>
          <w:i/>
        </w:rPr>
        <w:t>Záró rendelkezések:</w:t>
      </w:r>
      <w:r w:rsidR="007B3900" w:rsidRPr="006A3CD9">
        <w:rPr>
          <w:rFonts w:cs="Times New Roman"/>
        </w:rPr>
        <w:t xml:space="preserve"> a hatályba léptetés, illetve a korábbi szabályzat hatályon kívül helyezésének időpontja, száma</w:t>
      </w:r>
      <w:r w:rsidR="005E50F0">
        <w:rPr>
          <w:rFonts w:cs="Times New Roman"/>
        </w:rPr>
        <w:t>,</w:t>
      </w:r>
      <w:r w:rsidR="007B3900" w:rsidRPr="006A3CD9">
        <w:rPr>
          <w:rFonts w:cs="Times New Roman"/>
        </w:rPr>
        <w:t xml:space="preserve"> különös tekintettel arra, hogy az iratkezelés rendszere csak naptári év kezdetével változtatható meg (335/2005. Korm. rend. 68.§ (1.)).</w:t>
      </w:r>
    </w:p>
    <w:p w14:paraId="1B464291" w14:textId="77777777" w:rsidR="007B3900" w:rsidRPr="006D6F24" w:rsidRDefault="006A3CD9" w:rsidP="001308C4">
      <w:pPr>
        <w:pStyle w:val="Szvegtrzs"/>
        <w:spacing w:before="120" w:line="276" w:lineRule="auto"/>
        <w:jc w:val="both"/>
        <w:rPr>
          <w:rFonts w:cs="Times New Roman"/>
          <w:b/>
          <w:iCs/>
        </w:rPr>
      </w:pPr>
      <w:r w:rsidRPr="006D6F24">
        <w:rPr>
          <w:rFonts w:cs="Times New Roman"/>
          <w:b/>
          <w:iCs/>
        </w:rPr>
        <w:t>III</w:t>
      </w:r>
      <w:r w:rsidR="007B3900" w:rsidRPr="006D6F24">
        <w:rPr>
          <w:rFonts w:cs="Times New Roman"/>
          <w:b/>
          <w:iCs/>
        </w:rPr>
        <w:t>. Az irattári tervek formai véleményezése</w:t>
      </w:r>
    </w:p>
    <w:p w14:paraId="71748811" w14:textId="77777777" w:rsidR="007B3900" w:rsidRPr="006A3CD9" w:rsidRDefault="006A3CD9" w:rsidP="001308C4">
      <w:pPr>
        <w:pStyle w:val="Szvegtrzs"/>
        <w:spacing w:after="0" w:line="276" w:lineRule="auto"/>
        <w:jc w:val="both"/>
      </w:pPr>
      <w:r w:rsidRPr="006A3CD9">
        <w:rPr>
          <w:rFonts w:cs="Times New Roman"/>
        </w:rPr>
        <w:t xml:space="preserve">– </w:t>
      </w:r>
      <w:r w:rsidR="007B3900" w:rsidRPr="006A3CD9">
        <w:t xml:space="preserve">Általános és különös rész </w:t>
      </w:r>
      <w:r w:rsidR="00820409">
        <w:t>megléte</w:t>
      </w:r>
      <w:r w:rsidR="00331A9A">
        <w:t>.</w:t>
      </w:r>
    </w:p>
    <w:p w14:paraId="1E94FAC0" w14:textId="77777777" w:rsidR="007B3900" w:rsidRPr="006A3CD9" w:rsidRDefault="006A3CD9" w:rsidP="001308C4">
      <w:pPr>
        <w:pStyle w:val="Szvegtrzs"/>
        <w:spacing w:after="0" w:line="276" w:lineRule="auto"/>
        <w:jc w:val="both"/>
      </w:pPr>
      <w:r w:rsidRPr="006A3CD9">
        <w:rPr>
          <w:rFonts w:cs="Times New Roman"/>
        </w:rPr>
        <w:t xml:space="preserve">– </w:t>
      </w:r>
      <w:r w:rsidR="007B3900" w:rsidRPr="006A3CD9">
        <w:t>Az általános rész nem lehet szerv</w:t>
      </w:r>
      <w:r w:rsidR="00331A9A">
        <w:t>ezeti egységek szerint tagolva.</w:t>
      </w:r>
    </w:p>
    <w:p w14:paraId="546453EB" w14:textId="400C437C" w:rsidR="007B3900" w:rsidRPr="006A3CD9" w:rsidRDefault="006A3CD9" w:rsidP="001308C4">
      <w:pPr>
        <w:pStyle w:val="Szvegtrzs"/>
        <w:spacing w:after="0" w:line="276" w:lineRule="auto"/>
        <w:jc w:val="both"/>
      </w:pPr>
      <w:r w:rsidRPr="006A3CD9">
        <w:rPr>
          <w:rFonts w:cs="Times New Roman"/>
        </w:rPr>
        <w:t xml:space="preserve">– </w:t>
      </w:r>
      <w:r w:rsidR="007B3900" w:rsidRPr="006A3CD9">
        <w:t xml:space="preserve">Felépítés (tételszám, tétel tárgya, S/év; NS/15, kivéve, ha jogszabály mást állapít meg; </w:t>
      </w:r>
      <w:r w:rsidR="005E50F0">
        <w:t xml:space="preserve">NS </w:t>
      </w:r>
      <w:r w:rsidR="007B3900" w:rsidRPr="006A3CD9">
        <w:t>HN</w:t>
      </w:r>
      <w:r w:rsidR="00B751F3">
        <w:t>, M</w:t>
      </w:r>
      <w:r w:rsidR="006155E3">
        <w:t>V</w:t>
      </w:r>
      <w:r w:rsidR="007B3900" w:rsidRPr="006A3CD9">
        <w:t>).</w:t>
      </w:r>
      <w:r w:rsidR="00331A9A">
        <w:t xml:space="preserve"> </w:t>
      </w:r>
      <w:r w:rsidR="00B751F3">
        <w:t>A</w:t>
      </w:r>
      <w:r w:rsidR="006D6F24">
        <w:t>z</w:t>
      </w:r>
      <w:r w:rsidR="00B751F3">
        <w:t xml:space="preserve"> L</w:t>
      </w:r>
      <w:r w:rsidR="006D6F24">
        <w:t>t</w:t>
      </w:r>
      <w:r w:rsidR="00B751F3">
        <w:t>v. lehetővé teszi a levéltári mintavételt. (A</w:t>
      </w:r>
      <w:r w:rsidR="00B751F3" w:rsidRPr="000157C1">
        <w:t xml:space="preserve"> mintavételi eljárással lehetővé válik egyes, alapvetően selejtezendő iratok levéltári átvétele, amelyeknél az irattári tétel egészének levéltárba adása nem indokolt, de egyes ügyiratok maradandó értékű iratként történő kiemelése és levéltárba adása szükséges lehet a levéltári érdek érvényesítéséért.</w:t>
      </w:r>
      <w:r w:rsidR="00B751F3">
        <w:t xml:space="preserve">) </w:t>
      </w:r>
      <w:r w:rsidR="006D6F24">
        <w:t>– Ltv</w:t>
      </w:r>
      <w:r w:rsidR="00B917B9">
        <w:rPr>
          <w:rFonts w:cs="Times New Roman"/>
        </w:rPr>
        <w:t xml:space="preserve">. 3.§ v) és 9.§ (1) g), </w:t>
      </w:r>
      <w:r w:rsidR="00B917B9" w:rsidRPr="006A3CD9">
        <w:rPr>
          <w:rFonts w:cs="Times New Roman"/>
        </w:rPr>
        <w:t>335/2005. Korm. rend.</w:t>
      </w:r>
      <w:r w:rsidR="00B917B9">
        <w:rPr>
          <w:rFonts w:cs="Times New Roman"/>
        </w:rPr>
        <w:t xml:space="preserve"> 11.§ (1)</w:t>
      </w:r>
      <w:r w:rsidR="006D6F24">
        <w:rPr>
          <w:rFonts w:cs="Times New Roman"/>
        </w:rPr>
        <w:t>.</w:t>
      </w:r>
    </w:p>
    <w:p w14:paraId="5E4B6ABA" w14:textId="2FD91356" w:rsidR="00820409" w:rsidRPr="006A3CD9" w:rsidRDefault="006A3CD9" w:rsidP="001308C4">
      <w:pPr>
        <w:pStyle w:val="Szvegtrzs"/>
        <w:spacing w:after="0" w:line="276" w:lineRule="auto"/>
        <w:jc w:val="both"/>
      </w:pPr>
      <w:r w:rsidRPr="006A3CD9">
        <w:rPr>
          <w:rFonts w:cs="Times New Roman"/>
        </w:rPr>
        <w:t xml:space="preserve">– </w:t>
      </w:r>
      <w:r w:rsidR="007B3900" w:rsidRPr="006A3CD9">
        <w:t>A rövidítéseket fel kell oldani (S/NS/HN</w:t>
      </w:r>
      <w:r w:rsidR="00331A9A">
        <w:t>/M</w:t>
      </w:r>
      <w:r w:rsidR="006155E3">
        <w:t>V</w:t>
      </w:r>
      <w:r w:rsidR="007B3900" w:rsidRPr="006A3CD9">
        <w:t xml:space="preserve">, </w:t>
      </w:r>
      <w:r w:rsidR="005E50F0">
        <w:t xml:space="preserve">illetve </w:t>
      </w:r>
      <w:r w:rsidR="007B3900" w:rsidRPr="006A3CD9">
        <w:t>a téte</w:t>
      </w:r>
      <w:r w:rsidR="005E50F0">
        <w:t>l tárgyán belüli megnevezések).</w:t>
      </w:r>
    </w:p>
    <w:p w14:paraId="0E4A5B42" w14:textId="77777777" w:rsidR="007B3900" w:rsidRPr="006D6F24" w:rsidRDefault="006A3CD9" w:rsidP="001308C4">
      <w:pPr>
        <w:pStyle w:val="Szvegtrzs"/>
        <w:spacing w:before="120" w:line="276" w:lineRule="auto"/>
        <w:jc w:val="both"/>
        <w:rPr>
          <w:rFonts w:cs="Times New Roman"/>
          <w:b/>
          <w:iCs/>
        </w:rPr>
      </w:pPr>
      <w:r w:rsidRPr="006D6F24">
        <w:rPr>
          <w:rFonts w:cs="Times New Roman"/>
          <w:b/>
          <w:iCs/>
        </w:rPr>
        <w:t>I</w:t>
      </w:r>
      <w:r w:rsidR="007B3900" w:rsidRPr="006D6F24">
        <w:rPr>
          <w:rFonts w:cs="Times New Roman"/>
          <w:b/>
          <w:iCs/>
        </w:rPr>
        <w:t>V. Az irattári tervek tartalmi véleményezése</w:t>
      </w:r>
    </w:p>
    <w:p w14:paraId="794692D3" w14:textId="77777777" w:rsidR="007B3900" w:rsidRPr="006A3CD9" w:rsidRDefault="006A3CD9" w:rsidP="001308C4">
      <w:pPr>
        <w:pStyle w:val="Szvegtrzs"/>
        <w:spacing w:after="0" w:line="276" w:lineRule="auto"/>
        <w:jc w:val="both"/>
        <w:rPr>
          <w:rFonts w:cs="Times New Roman"/>
        </w:rPr>
      </w:pPr>
      <w:r>
        <w:rPr>
          <w:rFonts w:cs="Times New Roman"/>
        </w:rPr>
        <w:t xml:space="preserve">– </w:t>
      </w:r>
      <w:r w:rsidR="007B3900" w:rsidRPr="006A3CD9">
        <w:t>Az általános részbe a szerv működtetésével kapcsolatos, több szervezeti egységet is érintő irattári tételek, a különös részbe pedig a szerv alapfeladataihoz kapcsolódó irattári tételek tartoznak (</w:t>
      </w:r>
      <w:r w:rsidR="007B3900" w:rsidRPr="006A3CD9">
        <w:rPr>
          <w:rFonts w:cs="Times New Roman"/>
        </w:rPr>
        <w:t>335/2005. Korm. rend. 12.§ (2))</w:t>
      </w:r>
      <w:r w:rsidR="00331A9A">
        <w:rPr>
          <w:rFonts w:cs="Times New Roman"/>
        </w:rPr>
        <w:t>.</w:t>
      </w:r>
    </w:p>
    <w:p w14:paraId="237B9A3F" w14:textId="77777777" w:rsidR="007B3900" w:rsidRPr="006A3CD9" w:rsidRDefault="006A3CD9" w:rsidP="001308C4">
      <w:pPr>
        <w:pStyle w:val="Szvegtrzs"/>
        <w:spacing w:after="0" w:line="276" w:lineRule="auto"/>
        <w:jc w:val="both"/>
      </w:pPr>
      <w:r>
        <w:rPr>
          <w:rFonts w:cs="Times New Roman"/>
        </w:rPr>
        <w:t xml:space="preserve">– </w:t>
      </w:r>
      <w:r w:rsidR="007B3900" w:rsidRPr="006A3CD9">
        <w:rPr>
          <w:rFonts w:cs="Times New Roman"/>
        </w:rPr>
        <w:t>A szerv ügykörei között meglévő tartalmi összefüggések alap</w:t>
      </w:r>
      <w:r w:rsidR="00331A9A">
        <w:rPr>
          <w:rFonts w:cs="Times New Roman"/>
        </w:rPr>
        <w:t>ján kell a tételeket létrehozni</w:t>
      </w:r>
      <w:r w:rsidR="007B3900" w:rsidRPr="006A3CD9">
        <w:rPr>
          <w:rFonts w:cs="Times New Roman"/>
        </w:rPr>
        <w:t xml:space="preserve"> (335/2005. Korm. rend. 12.§ (3))</w:t>
      </w:r>
      <w:r w:rsidR="00331A9A">
        <w:rPr>
          <w:rFonts w:cs="Times New Roman"/>
        </w:rPr>
        <w:t>.</w:t>
      </w:r>
    </w:p>
    <w:p w14:paraId="57D92473" w14:textId="77777777" w:rsidR="007B3900" w:rsidRPr="006A3CD9" w:rsidRDefault="006A3CD9" w:rsidP="001308C4">
      <w:pPr>
        <w:pStyle w:val="Szvegtrzs"/>
        <w:spacing w:after="0" w:line="276" w:lineRule="auto"/>
        <w:jc w:val="both"/>
        <w:rPr>
          <w:rFonts w:cs="Times New Roman"/>
        </w:rPr>
      </w:pPr>
      <w:r>
        <w:rPr>
          <w:rFonts w:cs="Times New Roman"/>
        </w:rPr>
        <w:t xml:space="preserve">– </w:t>
      </w:r>
      <w:r w:rsidR="007B3900" w:rsidRPr="006A3CD9">
        <w:t>A S/NS besorolás csak nagyon indokolt esetben változtatható meg</w:t>
      </w:r>
      <w:r w:rsidR="005E50F0">
        <w:t>, s ezt</w:t>
      </w:r>
      <w:r w:rsidR="001D1E13">
        <w:t xml:space="preserve"> </w:t>
      </w:r>
      <w:r w:rsidR="007B3900" w:rsidRPr="006A3CD9">
        <w:t xml:space="preserve">a szervnél korábban hatályos </w:t>
      </w:r>
      <w:r w:rsidR="00331A9A">
        <w:t>irattári terv</w:t>
      </w:r>
      <w:r w:rsidR="007B3900" w:rsidRPr="006A3CD9">
        <w:t xml:space="preserve">vel össze kell hasonlítani. Ha </w:t>
      </w:r>
      <w:r w:rsidR="001D1E13">
        <w:t>lehetséges</w:t>
      </w:r>
      <w:r w:rsidR="007B3900" w:rsidRPr="006A3CD9">
        <w:t xml:space="preserve">, </w:t>
      </w:r>
      <w:r w:rsidR="001D1E13">
        <w:t xml:space="preserve">ehhez </w:t>
      </w:r>
      <w:r w:rsidR="005E50F0">
        <w:t xml:space="preserve">a levéltár számára </w:t>
      </w:r>
      <w:r w:rsidR="001D1E13">
        <w:lastRenderedPageBreak/>
        <w:t>mellékeljenek</w:t>
      </w:r>
      <w:r w:rsidR="007B3900" w:rsidRPr="006A3CD9">
        <w:t xml:space="preserve"> korrektúra változatot </w:t>
      </w:r>
      <w:r w:rsidR="007B3900" w:rsidRPr="006A3CD9">
        <w:rPr>
          <w:rFonts w:cs="Times New Roman"/>
        </w:rPr>
        <w:t>(335/2005. Korm. rend. 12.§).</w:t>
      </w:r>
    </w:p>
    <w:p w14:paraId="40582725" w14:textId="77777777" w:rsidR="007B3900" w:rsidRPr="006A3CD9" w:rsidRDefault="006A3CD9" w:rsidP="001308C4">
      <w:pPr>
        <w:pStyle w:val="Szvegtrzs"/>
        <w:spacing w:after="0" w:line="276" w:lineRule="auto"/>
        <w:jc w:val="both"/>
      </w:pPr>
      <w:r>
        <w:rPr>
          <w:rFonts w:cs="Times New Roman"/>
        </w:rPr>
        <w:t xml:space="preserve">– </w:t>
      </w:r>
      <w:r w:rsidR="007B3900" w:rsidRPr="006A3CD9">
        <w:rPr>
          <w:rFonts w:cs="Times New Roman"/>
        </w:rPr>
        <w:t>A nem selejtezhető iratok levéltárba adásának határidejét az Ltv. 12. §-</w:t>
      </w:r>
      <w:proofErr w:type="spellStart"/>
      <w:r w:rsidR="007B3900" w:rsidRPr="006A3CD9">
        <w:rPr>
          <w:rFonts w:cs="Times New Roman"/>
        </w:rPr>
        <w:t>ában</w:t>
      </w:r>
      <w:proofErr w:type="spellEnd"/>
      <w:r w:rsidR="007B3900" w:rsidRPr="006A3CD9">
        <w:rPr>
          <w:rFonts w:cs="Times New Roman"/>
        </w:rPr>
        <w:t xml:space="preserve"> foglaltak figyelembevételével kell</w:t>
      </w:r>
      <w:r w:rsidR="00331A9A">
        <w:rPr>
          <w:rFonts w:cs="Times New Roman"/>
        </w:rPr>
        <w:t xml:space="preserve"> meghatározni</w:t>
      </w:r>
      <w:r w:rsidR="007B3900" w:rsidRPr="006A3CD9">
        <w:rPr>
          <w:rFonts w:cs="Times New Roman"/>
        </w:rPr>
        <w:t xml:space="preserve"> (33</w:t>
      </w:r>
      <w:r w:rsidR="00331A9A">
        <w:rPr>
          <w:rFonts w:cs="Times New Roman"/>
        </w:rPr>
        <w:t>5/2005. Korm. rend. 11.§ (1)); l</w:t>
      </w:r>
      <w:r w:rsidR="007B3900" w:rsidRPr="006A3CD9">
        <w:rPr>
          <w:rFonts w:cs="Times New Roman"/>
        </w:rPr>
        <w:t xml:space="preserve">evéltárba adás: </w:t>
      </w:r>
      <w:r w:rsidR="005E50F0">
        <w:rPr>
          <w:rFonts w:cs="Times New Roman"/>
        </w:rPr>
        <w:t xml:space="preserve">általában </w:t>
      </w:r>
      <w:r w:rsidR="007B3900" w:rsidRPr="006A3CD9">
        <w:rPr>
          <w:rFonts w:cs="Times New Roman"/>
        </w:rPr>
        <w:t>15 év után</w:t>
      </w:r>
      <w:r w:rsidR="00331A9A">
        <w:rPr>
          <w:rFonts w:cs="Times New Roman"/>
        </w:rPr>
        <w:t>.</w:t>
      </w:r>
    </w:p>
    <w:p w14:paraId="10E28857" w14:textId="0118BFE0" w:rsidR="007B3900" w:rsidRPr="006A3CD9" w:rsidRDefault="006A3CD9" w:rsidP="001308C4">
      <w:pPr>
        <w:pStyle w:val="Szvegtrzs"/>
        <w:spacing w:after="0" w:line="276" w:lineRule="auto"/>
        <w:jc w:val="both"/>
      </w:pPr>
      <w:r>
        <w:rPr>
          <w:rFonts w:cs="Times New Roman"/>
        </w:rPr>
        <w:t xml:space="preserve">– </w:t>
      </w:r>
      <w:r w:rsidR="007B3900" w:rsidRPr="006A3CD9">
        <w:t>Új NS</w:t>
      </w:r>
      <w:r w:rsidR="006D6F24">
        <w:t>-</w:t>
      </w:r>
      <w:r w:rsidR="007B3900" w:rsidRPr="006A3CD9">
        <w:t>tételeknél szükség szerint helyszíni értékvizsgálatot kell tartani. 335</w:t>
      </w:r>
      <w:r w:rsidR="00A61E1A">
        <w:rPr>
          <w:rFonts w:cs="Times New Roman"/>
        </w:rPr>
        <w:t>/2005. Korm. rend</w:t>
      </w:r>
      <w:r w:rsidR="007B3900" w:rsidRPr="006A3CD9">
        <w:t>. 10-11.§</w:t>
      </w:r>
    </w:p>
    <w:p w14:paraId="5D953989" w14:textId="77777777" w:rsidR="007B3900" w:rsidRPr="006A3CD9" w:rsidRDefault="006A3CD9" w:rsidP="001308C4">
      <w:pPr>
        <w:pStyle w:val="Szvegtrzs"/>
        <w:spacing w:after="0" w:line="276" w:lineRule="auto"/>
        <w:jc w:val="both"/>
      </w:pPr>
      <w:r>
        <w:rPr>
          <w:rFonts w:cs="Times New Roman"/>
        </w:rPr>
        <w:t xml:space="preserve">– </w:t>
      </w:r>
      <w:r w:rsidR="007B3900" w:rsidRPr="006A3CD9">
        <w:t>Régi tételszámon tartalmilag új tétel ne legyen</w:t>
      </w:r>
      <w:r w:rsidR="00331A9A">
        <w:t>, v</w:t>
      </w:r>
      <w:r w:rsidR="005E50F0">
        <w:t>agyis régi tételszám ne kerüljön újra kiadásra</w:t>
      </w:r>
      <w:r w:rsidR="007B3900" w:rsidRPr="006A3CD9">
        <w:t>.</w:t>
      </w:r>
    </w:p>
    <w:p w14:paraId="40CD24FF" w14:textId="0FC5AF3B" w:rsidR="007B3900" w:rsidRPr="006A3CD9" w:rsidRDefault="006A3CD9" w:rsidP="001308C4">
      <w:pPr>
        <w:pStyle w:val="Szvegtrzs"/>
        <w:spacing w:after="0" w:line="276" w:lineRule="auto"/>
        <w:jc w:val="both"/>
      </w:pPr>
      <w:r>
        <w:rPr>
          <w:rFonts w:cs="Times New Roman"/>
        </w:rPr>
        <w:t xml:space="preserve">– </w:t>
      </w:r>
      <w:r w:rsidR="007B3900" w:rsidRPr="006A3CD9">
        <w:t>Levelezés/vegyes</w:t>
      </w:r>
      <w:r w:rsidR="00664496">
        <w:t>/</w:t>
      </w:r>
      <w:r w:rsidR="005E50F0">
        <w:t>e</w:t>
      </w:r>
      <w:r w:rsidR="00664496">
        <w:t>g</w:t>
      </w:r>
      <w:r w:rsidR="005E50F0">
        <w:t>yéb stb.</w:t>
      </w:r>
      <w:r w:rsidR="00331A9A">
        <w:t xml:space="preserve"> tétel</w:t>
      </w:r>
      <w:r w:rsidR="007B3900" w:rsidRPr="006A3CD9">
        <w:t xml:space="preserve">megnevezések ne </w:t>
      </w:r>
      <w:r w:rsidR="005E50F0">
        <w:t xml:space="preserve">szerepeljenek az </w:t>
      </w:r>
      <w:r w:rsidR="006155E3">
        <w:t>irattári terv</w:t>
      </w:r>
      <w:r w:rsidR="006D6F24">
        <w:t>b</w:t>
      </w:r>
      <w:r w:rsidR="005E50F0">
        <w:t>en</w:t>
      </w:r>
      <w:r w:rsidR="007B3900" w:rsidRPr="006A3CD9">
        <w:t xml:space="preserve"> (</w:t>
      </w:r>
      <w:r w:rsidR="007B3900" w:rsidRPr="006A3CD9">
        <w:rPr>
          <w:rFonts w:cs="Times New Roman"/>
        </w:rPr>
        <w:t>335/2005. Korm. rend.</w:t>
      </w:r>
      <w:r w:rsidR="007B3900" w:rsidRPr="006A3CD9">
        <w:t xml:space="preserve">10.§ (1) </w:t>
      </w:r>
      <w:r w:rsidR="007B3900" w:rsidRPr="006A3CD9">
        <w:rPr>
          <w:i/>
          <w:iCs/>
        </w:rPr>
        <w:t>„Az ügyiratokat és a nyilvántartott egyéb iratokat – a szerv ügyköreit az azonos tárgyú egyedi ügyekig lemenő részletességgel felsoroló jegyzék segítségével – tárgyi alapon kell tételekbe sorolni.”</w:t>
      </w:r>
      <w:r w:rsidR="007B3900" w:rsidRPr="006A3CD9">
        <w:t xml:space="preserve">) </w:t>
      </w:r>
    </w:p>
    <w:p w14:paraId="19111784" w14:textId="2F25F585" w:rsidR="007B3900" w:rsidRPr="006A3CD9" w:rsidRDefault="006A3CD9" w:rsidP="001308C4">
      <w:pPr>
        <w:pStyle w:val="Szvegtrzs"/>
        <w:spacing w:after="0" w:line="276" w:lineRule="auto"/>
        <w:jc w:val="both"/>
        <w:rPr>
          <w:color w:val="000000"/>
        </w:rPr>
      </w:pPr>
      <w:r>
        <w:rPr>
          <w:rFonts w:cs="Times New Roman"/>
        </w:rPr>
        <w:t xml:space="preserve">– </w:t>
      </w:r>
      <w:r w:rsidR="007B3900" w:rsidRPr="006A3CD9">
        <w:rPr>
          <w:color w:val="000000"/>
        </w:rPr>
        <w:t>Javasolt,</w:t>
      </w:r>
      <w:r w:rsidR="007B3900" w:rsidRPr="006A3CD9">
        <w:t xml:space="preserve"> hogy </w:t>
      </w:r>
      <w:r w:rsidR="006D6F24">
        <w:t xml:space="preserve">a </w:t>
      </w:r>
      <w:r w:rsidR="007B3900" w:rsidRPr="006A3CD9">
        <w:t>követ</w:t>
      </w:r>
      <w:r w:rsidR="00EE782E">
        <w:t>kező ügykörök nem selejtezhető</w:t>
      </w:r>
      <w:r w:rsidR="007B3900" w:rsidRPr="006A3CD9">
        <w:t>ek (NS) legyenek: alapító okirat, SzMSz, ügyrend, közgyűlési (igazgatósági)</w:t>
      </w:r>
      <w:r w:rsidR="00542B8F">
        <w:t>/</w:t>
      </w:r>
      <w:r w:rsidR="007B3900" w:rsidRPr="006A3CD9">
        <w:t>elnökségi</w:t>
      </w:r>
      <w:r w:rsidR="00542B8F">
        <w:t>/felügyelőbizottsági</w:t>
      </w:r>
      <w:r w:rsidR="007B3900" w:rsidRPr="006A3CD9">
        <w:t xml:space="preserve"> ülések jegyzőkönyvei és előterjesztései, átfogó belső ellenőrzések, éves költségvetés, zárszámadás, állami vagyonjuttatás, iktató- és mutatókönyvek, éves statisztikák, nemzetközi és nagyobb jelentőségi belföldi megállapodások, </w:t>
      </w:r>
      <w:r w:rsidR="00542B8F">
        <w:t>ingatlan-nyilvántartások,</w:t>
      </w:r>
      <w:r w:rsidR="007B3900" w:rsidRPr="006A3CD9">
        <w:t xml:space="preserve"> épületek tervdokumentációi</w:t>
      </w:r>
      <w:r w:rsidR="00EE782E">
        <w:t>, iratkezelési szabályzatok, selejtezési és iratátadási jegyzőkönyvek</w:t>
      </w:r>
      <w:r w:rsidR="007B3900" w:rsidRPr="006A3CD9">
        <w:t>.</w:t>
      </w:r>
      <w:r w:rsidR="00EE782E">
        <w:t xml:space="preserve"> Ezek </w:t>
      </w:r>
      <w:r w:rsidR="006155E3">
        <w:t>vagy</w:t>
      </w:r>
      <w:r w:rsidR="00EE782E">
        <w:t xml:space="preserve"> helyben őrzendők vagy 15 év után levéltárba adhatók.</w:t>
      </w:r>
    </w:p>
    <w:p w14:paraId="3FBFE45E" w14:textId="1E2349F6" w:rsidR="007B3900" w:rsidRDefault="006A3CD9" w:rsidP="001308C4">
      <w:pPr>
        <w:pStyle w:val="Szvegtrzs"/>
        <w:spacing w:after="0" w:line="276" w:lineRule="auto"/>
        <w:jc w:val="both"/>
      </w:pPr>
      <w:r>
        <w:rPr>
          <w:rFonts w:cs="Times New Roman"/>
        </w:rPr>
        <w:t xml:space="preserve">– </w:t>
      </w:r>
      <w:r w:rsidR="007B3900" w:rsidRPr="006A3CD9">
        <w:rPr>
          <w:color w:val="000000"/>
        </w:rPr>
        <w:t>Javasolt,</w:t>
      </w:r>
      <w:r w:rsidR="007B3900" w:rsidRPr="006A3CD9">
        <w:t xml:space="preserve"> hogy a következő ügykörök </w:t>
      </w:r>
      <w:r w:rsidR="00EE782E">
        <w:t>legalább 50 évig helyben őrzendőek legyenek</w:t>
      </w:r>
      <w:r w:rsidR="005532BF">
        <w:t xml:space="preserve">: </w:t>
      </w:r>
      <w:r w:rsidR="007B3900" w:rsidRPr="006A3CD9">
        <w:t>személyi ügyek, létszám</w:t>
      </w:r>
      <w:r w:rsidR="00EE782E">
        <w:t>-</w:t>
      </w:r>
      <w:r w:rsidR="007B3900" w:rsidRPr="006A3CD9">
        <w:t xml:space="preserve"> és bérgazdálkodás</w:t>
      </w:r>
      <w:r w:rsidR="00EE782E">
        <w:t>, munkaügyek</w:t>
      </w:r>
      <w:r w:rsidR="007B3900" w:rsidRPr="006A3CD9">
        <w:t xml:space="preserve">. </w:t>
      </w:r>
      <w:r w:rsidR="00EE782E">
        <w:t>Ezek a GDPR-</w:t>
      </w:r>
      <w:proofErr w:type="spellStart"/>
      <w:r w:rsidR="00EE782E">
        <w:t>ra</w:t>
      </w:r>
      <w:proofErr w:type="spellEnd"/>
      <w:r w:rsidR="00EE782E">
        <w:t xml:space="preserve"> tekintettel immár nem őrizhetőek határidő nélkül.</w:t>
      </w:r>
      <w:r w:rsidR="00A61E1A" w:rsidRPr="00A61E1A">
        <w:t xml:space="preserve"> </w:t>
      </w:r>
      <w:r w:rsidR="00A61E1A" w:rsidRPr="00C44D33">
        <w:t>(„A személyes adatot tartalmazó iratok őrzé</w:t>
      </w:r>
      <w:bookmarkStart w:id="0" w:name="_GoBack"/>
      <w:bookmarkEnd w:id="0"/>
      <w:r w:rsidR="00A61E1A" w:rsidRPr="00C44D33">
        <w:t>si és selejtezési idejét a célhoz kötött adatkezelés követelményére tekintettel kell meghatározni.”)</w:t>
      </w:r>
    </w:p>
    <w:p w14:paraId="3FA8B394" w14:textId="77777777" w:rsidR="00EE782E" w:rsidRPr="006A3CD9" w:rsidRDefault="00EE782E" w:rsidP="001308C4">
      <w:pPr>
        <w:pStyle w:val="Szvegtrzs"/>
        <w:spacing w:after="0" w:line="276" w:lineRule="auto"/>
        <w:jc w:val="both"/>
      </w:pPr>
      <w:r>
        <w:t xml:space="preserve">– Érdemes levéltári mintavételt jelezni azon selejtezhető irattári tételeknél, amelyek valamilyen társadalom-, gazdaság, </w:t>
      </w:r>
      <w:proofErr w:type="spellStart"/>
      <w:r>
        <w:t>kultúr</w:t>
      </w:r>
      <w:proofErr w:type="spellEnd"/>
      <w:r>
        <w:t>- vagy politikatörténeti érdekességgel bírhatnak (pl. panaszügyek, fegyelmi ügyek</w:t>
      </w:r>
      <w:r w:rsidR="00542B8F">
        <w:t>, ellenőrzési dokumentumok, nagy értékű szerződések</w:t>
      </w:r>
      <w:r>
        <w:t xml:space="preserve"> stb.)</w:t>
      </w:r>
    </w:p>
    <w:p w14:paraId="45FE0EE8" w14:textId="76E3F820" w:rsidR="006A3CD9" w:rsidRPr="00503B87" w:rsidRDefault="006A3CD9" w:rsidP="001308C4">
      <w:pPr>
        <w:pStyle w:val="Szvegtrzs"/>
        <w:spacing w:line="276" w:lineRule="auto"/>
        <w:jc w:val="both"/>
      </w:pPr>
      <w:r>
        <w:rPr>
          <w:rFonts w:cs="Times New Roman"/>
        </w:rPr>
        <w:t xml:space="preserve">– </w:t>
      </w:r>
      <w:r w:rsidR="007B3900" w:rsidRPr="006A3CD9">
        <w:t xml:space="preserve">A következő ügykörök átvétele az iratok több fondban való esetleges tükröződése miatt </w:t>
      </w:r>
      <w:r w:rsidR="005E50F0">
        <w:rPr>
          <w:color w:val="000000"/>
        </w:rPr>
        <w:t>megfontolás tárgyát kell, hogy képezze</w:t>
      </w:r>
      <w:r w:rsidR="007B3900" w:rsidRPr="006A3CD9">
        <w:rPr>
          <w:color w:val="000000"/>
        </w:rPr>
        <w:t>:</w:t>
      </w:r>
      <w:r w:rsidR="007B3900" w:rsidRPr="006A3CD9">
        <w:t xml:space="preserve"> felügyeleti szervek állásfoglalásai, jogszabály-</w:t>
      </w:r>
      <w:r w:rsidR="007B3900" w:rsidRPr="00503B87">
        <w:t>tervezetek véleményezése (a köröztető szerv példányát kivéve, amelyet át kell venni).</w:t>
      </w:r>
    </w:p>
    <w:p w14:paraId="1C8433C4" w14:textId="352A9A12" w:rsidR="009F4D61" w:rsidRPr="00503B87" w:rsidRDefault="009F4D61" w:rsidP="001308C4">
      <w:pPr>
        <w:spacing w:line="276" w:lineRule="auto"/>
        <w:jc w:val="both"/>
        <w:rPr>
          <w:rFonts w:eastAsia="Times New Roman" w:cs="Times New Roman"/>
          <w:lang w:eastAsia="hu-HU"/>
        </w:rPr>
      </w:pPr>
      <w:r w:rsidRPr="00503B87">
        <w:rPr>
          <w:rFonts w:eastAsia="Times New Roman" w:cs="Times New Roman"/>
          <w:lang w:eastAsia="hu-HU"/>
        </w:rPr>
        <w:t xml:space="preserve">Budapest Főváros Levéltára (BFL) illetékességi körébe tartozik a fenntartó önkormányzat, a Budapest közigazgatási területén működő helyi önkormányzatok és nemzetiségi önkormányzatok képviselő-testületeinek, hivatalainak és intézményeinek, ezek </w:t>
      </w:r>
      <w:proofErr w:type="spellStart"/>
      <w:r w:rsidRPr="00503B87">
        <w:rPr>
          <w:rFonts w:eastAsia="Times New Roman" w:cs="Times New Roman"/>
          <w:lang w:eastAsia="hu-HU"/>
        </w:rPr>
        <w:t>jogelődeinek</w:t>
      </w:r>
      <w:proofErr w:type="spellEnd"/>
      <w:r w:rsidRPr="00503B87">
        <w:rPr>
          <w:rFonts w:eastAsia="Times New Roman" w:cs="Times New Roman"/>
          <w:lang w:eastAsia="hu-HU"/>
        </w:rPr>
        <w:t>, valamint a fővárosi és kerületi önkormányzatok többségi tulajdonában álló gazdasági társaságoknak, továbbá a központi államigazgatási szervek, a rendőrség, a hivatásos katasztrófavédelmi szerv és a büntetés-végrehajtási szervezet területi szerveinek, valamint az alap- és középfokú köznevelési intézmények Budapest közigazgatási területén keletkezett levéltári anyaga és minden olyan, Budapest területén keletkezett levéltári anyag, amely nem tartozik más levéltár illetékességi körébe.</w:t>
      </w:r>
    </w:p>
    <w:p w14:paraId="16C2BA33" w14:textId="7190078C" w:rsidR="009F4D61" w:rsidRPr="00503B87" w:rsidRDefault="009F4D61" w:rsidP="001308C4">
      <w:pPr>
        <w:spacing w:line="276" w:lineRule="auto"/>
        <w:ind w:firstLine="708"/>
        <w:jc w:val="both"/>
        <w:rPr>
          <w:rFonts w:eastAsia="Times New Roman" w:cs="Times New Roman"/>
          <w:lang w:eastAsia="hu-HU"/>
        </w:rPr>
      </w:pPr>
      <w:r w:rsidRPr="00503B87">
        <w:rPr>
          <w:rFonts w:eastAsia="Times New Roman" w:cs="Times New Roman"/>
          <w:lang w:eastAsia="hu-HU"/>
        </w:rPr>
        <w:t xml:space="preserve">Erősen javasoljuk, hogy a levéltárnak való </w:t>
      </w:r>
      <w:r w:rsidRPr="00503B87">
        <w:rPr>
          <w:rFonts w:eastAsia="Times New Roman" w:cs="Times New Roman"/>
          <w:b/>
          <w:bCs/>
          <w:lang w:eastAsia="hu-HU"/>
        </w:rPr>
        <w:t>hivatalos megküldés előtt elektronikusan küldjék meg a</w:t>
      </w:r>
      <w:r w:rsidR="00EF1569" w:rsidRPr="00503B87">
        <w:rPr>
          <w:rFonts w:eastAsia="Times New Roman" w:cs="Times New Roman"/>
          <w:b/>
          <w:bCs/>
          <w:lang w:eastAsia="hu-HU"/>
        </w:rPr>
        <w:t>z új vagy módosítandó iratkezelési szabályzato</w:t>
      </w:r>
      <w:r w:rsidRPr="00503B87">
        <w:rPr>
          <w:rFonts w:eastAsia="Times New Roman" w:cs="Times New Roman"/>
          <w:b/>
          <w:bCs/>
          <w:lang w:eastAsia="hu-HU"/>
        </w:rPr>
        <w:t>t véleményezésre</w:t>
      </w:r>
      <w:r w:rsidRPr="00503B87">
        <w:rPr>
          <w:rFonts w:eastAsia="Times New Roman" w:cs="Times New Roman"/>
          <w:lang w:eastAsia="hu-HU"/>
        </w:rPr>
        <w:t xml:space="preserve"> az illetékes levéltári referenciának (lásd Referencialista c. dokumentum). A levéltárral egyeztetett </w:t>
      </w:r>
      <w:r w:rsidR="00EF1569" w:rsidRPr="00503B87">
        <w:rPr>
          <w:rFonts w:eastAsia="Times New Roman" w:cs="Times New Roman"/>
          <w:lang w:eastAsia="hu-HU"/>
        </w:rPr>
        <w:t>szabályzatot</w:t>
      </w:r>
      <w:r w:rsidRPr="00503B87">
        <w:rPr>
          <w:rFonts w:eastAsia="Times New Roman" w:cs="Times New Roman"/>
          <w:lang w:eastAsia="hu-HU"/>
        </w:rPr>
        <w:t xml:space="preserve"> papír alapon két (esetleg három) példányban kell megküldeni a BFL-</w:t>
      </w:r>
      <w:proofErr w:type="spellStart"/>
      <w:r w:rsidRPr="00503B87">
        <w:rPr>
          <w:rFonts w:eastAsia="Times New Roman" w:cs="Times New Roman"/>
          <w:lang w:eastAsia="hu-HU"/>
        </w:rPr>
        <w:t>nek</w:t>
      </w:r>
      <w:proofErr w:type="spellEnd"/>
      <w:r w:rsidR="00EF1569" w:rsidRPr="00503B87">
        <w:rPr>
          <w:rFonts w:eastAsia="Times New Roman" w:cs="Times New Roman"/>
          <w:lang w:eastAsia="hu-HU"/>
        </w:rPr>
        <w:t xml:space="preserve"> </w:t>
      </w:r>
      <w:r w:rsidR="00EF1569" w:rsidRPr="00503B87">
        <w:rPr>
          <w:rFonts w:eastAsia="Times New Roman" w:cs="Times New Roman"/>
          <w:lang w:eastAsia="hu-HU"/>
        </w:rPr>
        <w:lastRenderedPageBreak/>
        <w:t>egyetértési záradékolás céljából</w:t>
      </w:r>
      <w:r w:rsidRPr="00503B87">
        <w:rPr>
          <w:rFonts w:eastAsia="Times New Roman" w:cs="Times New Roman"/>
          <w:lang w:eastAsia="hu-HU"/>
        </w:rPr>
        <w:t xml:space="preserve">. Elektronikus úton is beküldhető a végleges </w:t>
      </w:r>
      <w:r w:rsidR="00EF1569" w:rsidRPr="00503B87">
        <w:rPr>
          <w:rFonts w:eastAsia="Times New Roman" w:cs="Times New Roman"/>
          <w:lang w:eastAsia="hu-HU"/>
        </w:rPr>
        <w:t>szabályzat</w:t>
      </w:r>
      <w:r w:rsidRPr="00503B87">
        <w:rPr>
          <w:rFonts w:eastAsia="Times New Roman" w:cs="Times New Roman"/>
          <w:lang w:eastAsia="hu-HU"/>
        </w:rPr>
        <w:t xml:space="preserve"> Hivatali Kapun keresztül, ilyenkor figyelni kell arra, hogy érvényes elektronikus aláírással ellátott hiteles dokumentum kerüljön beküldésre. </w:t>
      </w:r>
    </w:p>
    <w:p w14:paraId="476E01C1" w14:textId="77777777" w:rsidR="009F4D61" w:rsidRPr="00503B87" w:rsidRDefault="009F4D61" w:rsidP="001308C4">
      <w:pPr>
        <w:spacing w:line="276" w:lineRule="auto"/>
        <w:ind w:firstLine="708"/>
        <w:jc w:val="both"/>
        <w:rPr>
          <w:rFonts w:eastAsia="Times New Roman" w:cs="Times New Roman"/>
          <w:b/>
          <w:bCs/>
          <w:i/>
          <w:iCs/>
          <w:lang w:eastAsia="hu-HU"/>
        </w:rPr>
      </w:pPr>
      <w:r w:rsidRPr="00503B87">
        <w:rPr>
          <w:rFonts w:eastAsia="Times New Roman" w:cs="Times New Roman"/>
          <w:b/>
          <w:bCs/>
          <w:i/>
          <w:iCs/>
          <w:lang w:eastAsia="hu-HU"/>
        </w:rPr>
        <w:t xml:space="preserve">A BFL postacíme: </w:t>
      </w:r>
      <w:r w:rsidRPr="00503B87">
        <w:rPr>
          <w:rFonts w:eastAsia="Times New Roman" w:cs="Times New Roman"/>
          <w:lang w:eastAsia="hu-HU"/>
        </w:rPr>
        <w:t>1554 Budapest, Pf. 41.</w:t>
      </w:r>
    </w:p>
    <w:p w14:paraId="62463109" w14:textId="77777777" w:rsidR="009F4D61" w:rsidRPr="00807743" w:rsidRDefault="009F4D61" w:rsidP="001308C4">
      <w:pPr>
        <w:spacing w:after="120" w:line="276" w:lineRule="auto"/>
        <w:ind w:firstLine="709"/>
        <w:jc w:val="both"/>
        <w:rPr>
          <w:rFonts w:eastAsia="Times New Roman" w:cs="Times New Roman"/>
          <w:b/>
          <w:bCs/>
          <w:i/>
          <w:iCs/>
          <w:lang w:eastAsia="hu-HU"/>
        </w:rPr>
      </w:pPr>
      <w:r w:rsidRPr="00503B87">
        <w:rPr>
          <w:rFonts w:eastAsia="Times New Roman" w:cs="Times New Roman"/>
          <w:b/>
          <w:bCs/>
          <w:i/>
          <w:iCs/>
          <w:lang w:eastAsia="hu-HU"/>
        </w:rPr>
        <w:t>A BFL KRID-azonosítója:</w:t>
      </w:r>
      <w:r w:rsidRPr="00503B87">
        <w:t xml:space="preserve"> </w:t>
      </w:r>
      <w:r w:rsidRPr="00503B87">
        <w:rPr>
          <w:rFonts w:eastAsia="Times New Roman" w:cs="Times New Roman"/>
          <w:lang w:eastAsia="hu-HU"/>
        </w:rPr>
        <w:t>418971718</w:t>
      </w:r>
    </w:p>
    <w:p w14:paraId="6F11E4D2" w14:textId="77777777" w:rsidR="009F4D61" w:rsidRPr="006A3CD9" w:rsidRDefault="009F4D61" w:rsidP="001308C4">
      <w:pPr>
        <w:pStyle w:val="Szvegtrzs"/>
        <w:spacing w:after="0" w:line="276" w:lineRule="auto"/>
        <w:jc w:val="both"/>
      </w:pPr>
    </w:p>
    <w:sectPr w:rsidR="009F4D61" w:rsidRPr="006A3CD9" w:rsidSect="00CA689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592E" w14:textId="77777777" w:rsidR="00444AE1" w:rsidRDefault="00444AE1">
      <w:r>
        <w:separator/>
      </w:r>
    </w:p>
  </w:endnote>
  <w:endnote w:type="continuationSeparator" w:id="0">
    <w:p w14:paraId="6C42CF8C" w14:textId="77777777" w:rsidR="00444AE1" w:rsidRDefault="0044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3A7" w14:textId="77777777" w:rsidR="00A215B6" w:rsidRDefault="00A215B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459D" w14:textId="77777777" w:rsidR="007B3900" w:rsidRDefault="007B3900">
    <w:pPr>
      <w:pStyle w:val="llb"/>
      <w:jc w:val="center"/>
    </w:pPr>
    <w:r>
      <w:fldChar w:fldCharType="begin"/>
    </w:r>
    <w:r>
      <w:instrText xml:space="preserve"> PAGE </w:instrText>
    </w:r>
    <w:r>
      <w:fldChar w:fldCharType="separate"/>
    </w:r>
    <w:r w:rsidR="006155E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389" w14:textId="77777777" w:rsidR="00A215B6" w:rsidRDefault="00A215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B178" w14:textId="77777777" w:rsidR="00444AE1" w:rsidRDefault="00444AE1">
      <w:r>
        <w:separator/>
      </w:r>
    </w:p>
  </w:footnote>
  <w:footnote w:type="continuationSeparator" w:id="0">
    <w:p w14:paraId="48D6C6F1" w14:textId="77777777" w:rsidR="00444AE1" w:rsidRDefault="0044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D079" w14:textId="77777777" w:rsidR="00A215B6" w:rsidRDefault="00A215B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16B3" w14:textId="2814962E" w:rsidR="00A215B6" w:rsidRDefault="00A215B6" w:rsidP="00A215B6">
    <w:pPr>
      <w:pStyle w:val="lfej"/>
      <w:tabs>
        <w:tab w:val="left" w:pos="750"/>
      </w:tabs>
      <w:rPr>
        <w:rFonts w:eastAsiaTheme="minorHAnsi" w:cstheme="minorBidi"/>
        <w:kern w:val="0"/>
        <w:sz w:val="22"/>
        <w:szCs w:val="22"/>
        <w:lang w:eastAsia="en-US" w:bidi="ar-SA"/>
      </w:rPr>
    </w:pPr>
    <w:r>
      <w:rPr>
        <w:rFonts w:cs="Times New Roman"/>
        <w:b/>
        <w:szCs w:val="24"/>
      </w:rPr>
      <w:t>Budapest Főváros Levéltára</w:t>
    </w:r>
    <w:r>
      <w:rPr>
        <w:rFonts w:cs="Times New Roman"/>
        <w:b/>
        <w:szCs w:val="24"/>
      </w:rPr>
      <w:tab/>
      <w:t>2023</w:t>
    </w:r>
    <w:r>
      <w:tab/>
    </w:r>
    <w:r>
      <w:rPr>
        <w:noProof/>
      </w:rPr>
      <w:drawing>
        <wp:inline distT="0" distB="0" distL="0" distR="0" wp14:anchorId="58E57151" wp14:editId="7741883D">
          <wp:extent cx="1600200" cy="4857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14:paraId="2A28CEE9" w14:textId="77777777" w:rsidR="00A215B6" w:rsidRDefault="00A215B6" w:rsidP="00A215B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2C00" w14:textId="77777777" w:rsidR="00A215B6" w:rsidRDefault="00A215B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C33BAA"/>
    <w:multiLevelType w:val="hybridMultilevel"/>
    <w:tmpl w:val="71043FDC"/>
    <w:lvl w:ilvl="0" w:tplc="782002EC">
      <w:start w:val="2"/>
      <w:numFmt w:val="bullet"/>
      <w:lvlText w:val="-"/>
      <w:lvlJc w:val="left"/>
      <w:pPr>
        <w:ind w:left="1260" w:hanging="360"/>
      </w:pPr>
      <w:rPr>
        <w:rFonts w:ascii="Times New Roman" w:eastAsia="SimSu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 w15:restartNumberingAfterBreak="0">
    <w:nsid w:val="17B11FCE"/>
    <w:multiLevelType w:val="hybridMultilevel"/>
    <w:tmpl w:val="93C0B29E"/>
    <w:lvl w:ilvl="0" w:tplc="C2DE3F3E">
      <w:start w:val="2"/>
      <w:numFmt w:val="bullet"/>
      <w:lvlText w:val="–"/>
      <w:lvlJc w:val="left"/>
      <w:pPr>
        <w:ind w:left="1260" w:hanging="360"/>
      </w:pPr>
      <w:rPr>
        <w:rFonts w:ascii="Times New Roman" w:eastAsia="SimSu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 w15:restartNumberingAfterBreak="0">
    <w:nsid w:val="19CA7D3B"/>
    <w:multiLevelType w:val="hybridMultilevel"/>
    <w:tmpl w:val="32D6A62C"/>
    <w:lvl w:ilvl="0" w:tplc="A746B8C0">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D14C12"/>
    <w:multiLevelType w:val="hybridMultilevel"/>
    <w:tmpl w:val="75A23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B32533"/>
    <w:multiLevelType w:val="hybridMultilevel"/>
    <w:tmpl w:val="E0F0E930"/>
    <w:lvl w:ilvl="0" w:tplc="73B082F2">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3"/>
    <w:rsid w:val="000C44FB"/>
    <w:rsid w:val="001308C4"/>
    <w:rsid w:val="001C1011"/>
    <w:rsid w:val="001D1E13"/>
    <w:rsid w:val="00227076"/>
    <w:rsid w:val="00247743"/>
    <w:rsid w:val="002E5ACD"/>
    <w:rsid w:val="00331A9A"/>
    <w:rsid w:val="00444AE1"/>
    <w:rsid w:val="004A5937"/>
    <w:rsid w:val="004D2EFA"/>
    <w:rsid w:val="00503B87"/>
    <w:rsid w:val="00542B8F"/>
    <w:rsid w:val="005532BF"/>
    <w:rsid w:val="005B02C9"/>
    <w:rsid w:val="005E50F0"/>
    <w:rsid w:val="005F27C3"/>
    <w:rsid w:val="006155E3"/>
    <w:rsid w:val="00650DBA"/>
    <w:rsid w:val="00664496"/>
    <w:rsid w:val="006A3CD9"/>
    <w:rsid w:val="006C31C2"/>
    <w:rsid w:val="006D6F24"/>
    <w:rsid w:val="00704428"/>
    <w:rsid w:val="0071352A"/>
    <w:rsid w:val="00725DDF"/>
    <w:rsid w:val="007B3900"/>
    <w:rsid w:val="00820409"/>
    <w:rsid w:val="008A0AF1"/>
    <w:rsid w:val="009F4D61"/>
    <w:rsid w:val="00A215B6"/>
    <w:rsid w:val="00A61E1A"/>
    <w:rsid w:val="00A7268D"/>
    <w:rsid w:val="00B60053"/>
    <w:rsid w:val="00B751F3"/>
    <w:rsid w:val="00B917B9"/>
    <w:rsid w:val="00C44D33"/>
    <w:rsid w:val="00C51586"/>
    <w:rsid w:val="00C73299"/>
    <w:rsid w:val="00CA6893"/>
    <w:rsid w:val="00ED45B5"/>
    <w:rsid w:val="00EE782E"/>
    <w:rsid w:val="00EF1569"/>
    <w:rsid w:val="00FD33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65BA9E"/>
  <w15:chartTrackingRefBased/>
  <w15:docId w15:val="{91EF7935-B893-4E5F-817A-FFE9857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widowControl w:val="0"/>
      <w:suppressAutoHyphens/>
    </w:pPr>
    <w:rPr>
      <w:rFonts w:eastAsia="SimSun" w:cs="Mangal"/>
      <w:kern w:val="1"/>
      <w:sz w:val="24"/>
      <w:szCs w:val="24"/>
      <w:lang w:eastAsia="zh-CN" w:bidi="hi-IN"/>
    </w:rPr>
  </w:style>
  <w:style w:type="paragraph" w:styleId="Cmsor1">
    <w:name w:val="heading 1"/>
    <w:basedOn w:val="Cmsor"/>
    <w:next w:val="Szvegtrzs"/>
    <w:qFormat/>
    <w:pPr>
      <w:numPr>
        <w:numId w:val="1"/>
      </w:numPr>
      <w:outlineLvl w:val="0"/>
    </w:pPr>
    <w:rPr>
      <w:b/>
      <w:bCs/>
      <w:sz w:val="32"/>
      <w:szCs w:val="32"/>
    </w:rPr>
  </w:style>
  <w:style w:type="paragraph" w:styleId="Cmsor2">
    <w:name w:val="heading 2"/>
    <w:basedOn w:val="Cmsor"/>
    <w:next w:val="Szvegtrzs"/>
    <w:qFormat/>
    <w:pPr>
      <w:numPr>
        <w:ilvl w:val="1"/>
        <w:numId w:val="1"/>
      </w:numPr>
      <w:outlineLvl w:val="1"/>
    </w:pPr>
    <w:rPr>
      <w:b/>
      <w:bCs/>
      <w:i/>
      <w:iCs/>
    </w:rPr>
  </w:style>
  <w:style w:type="paragraph" w:styleId="Cmsor3">
    <w:name w:val="heading 3"/>
    <w:basedOn w:val="Cmsor"/>
    <w:next w:val="Szvegtrzs"/>
    <w:qFormat/>
    <w:pPr>
      <w:numPr>
        <w:ilvl w:val="2"/>
        <w:numId w:val="1"/>
      </w:numPr>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Wingdings" w:hAnsi="Wingdings"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bjegyzet-karakterek">
    <w:name w:val="Lábjegyzet-karakterek"/>
  </w:style>
  <w:style w:type="character" w:styleId="Lbjegyzet-hivatkozs">
    <w:name w:val="footnote reference"/>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rPr>
      <w:vertAlign w:val="superscript"/>
    </w:r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styleId="Lbjegyzetszveg">
    <w:name w:val="footnote text"/>
    <w:basedOn w:val="Norml"/>
    <w:pPr>
      <w:suppressLineNumbers/>
      <w:ind w:left="339" w:hanging="339"/>
    </w:pPr>
    <w:rPr>
      <w:sz w:val="20"/>
      <w:szCs w:val="20"/>
    </w:rPr>
  </w:style>
  <w:style w:type="paragraph" w:customStyle="1" w:styleId="Tblzattartalom">
    <w:name w:val="Táblázattartalom"/>
    <w:basedOn w:val="Norml"/>
    <w:pPr>
      <w:suppressLineNumbers/>
    </w:pPr>
  </w:style>
  <w:style w:type="paragraph" w:styleId="llb">
    <w:name w:val="footer"/>
    <w:basedOn w:val="Norml"/>
    <w:pPr>
      <w:suppressLineNumbers/>
      <w:tabs>
        <w:tab w:val="center" w:pos="4819"/>
        <w:tab w:val="right" w:pos="9638"/>
      </w:tabs>
    </w:pPr>
  </w:style>
  <w:style w:type="paragraph" w:styleId="Idzet">
    <w:name w:val="Quote"/>
    <w:basedOn w:val="Norml"/>
    <w:qFormat/>
    <w:pPr>
      <w:spacing w:after="283"/>
      <w:ind w:left="567" w:right="567"/>
    </w:pPr>
  </w:style>
  <w:style w:type="paragraph" w:styleId="Cm">
    <w:name w:val="Title"/>
    <w:basedOn w:val="Cmsor"/>
    <w:next w:val="Szvegtrzs"/>
    <w:qFormat/>
    <w:pPr>
      <w:jc w:val="center"/>
    </w:pPr>
    <w:rPr>
      <w:b/>
      <w:bCs/>
      <w:sz w:val="36"/>
      <w:szCs w:val="36"/>
    </w:rPr>
  </w:style>
  <w:style w:type="paragraph" w:styleId="Alcm">
    <w:name w:val="Subtitle"/>
    <w:basedOn w:val="Cmsor"/>
    <w:next w:val="Szvegtrzs"/>
    <w:qFormat/>
    <w:pPr>
      <w:jc w:val="center"/>
    </w:pPr>
    <w:rPr>
      <w:i/>
      <w:iCs/>
    </w:rPr>
  </w:style>
  <w:style w:type="paragraph" w:customStyle="1" w:styleId="Tblzatfejlc">
    <w:name w:val="Táblázatfejléc"/>
    <w:basedOn w:val="Tblzattartalom"/>
    <w:pPr>
      <w:jc w:val="center"/>
    </w:pPr>
    <w:rPr>
      <w:b/>
      <w:bCs/>
    </w:rPr>
  </w:style>
  <w:style w:type="paragraph" w:styleId="lfej">
    <w:name w:val="header"/>
    <w:basedOn w:val="Norml"/>
    <w:link w:val="lfejChar"/>
    <w:uiPriority w:val="99"/>
    <w:unhideWhenUsed/>
    <w:rsid w:val="00CA6893"/>
    <w:pPr>
      <w:tabs>
        <w:tab w:val="center" w:pos="4536"/>
        <w:tab w:val="right" w:pos="9072"/>
      </w:tabs>
    </w:pPr>
    <w:rPr>
      <w:szCs w:val="21"/>
    </w:rPr>
  </w:style>
  <w:style w:type="character" w:customStyle="1" w:styleId="lfejChar">
    <w:name w:val="Élőfej Char"/>
    <w:basedOn w:val="Bekezdsalapbettpusa"/>
    <w:link w:val="lfej"/>
    <w:uiPriority w:val="99"/>
    <w:rsid w:val="00CA6893"/>
    <w:rPr>
      <w:rFonts w:eastAsia="SimSun" w:cs="Mangal"/>
      <w:kern w:val="1"/>
      <w:sz w:val="24"/>
      <w:szCs w:val="21"/>
      <w:lang w:eastAsia="zh-CN" w:bidi="hi-IN"/>
    </w:rPr>
  </w:style>
  <w:style w:type="paragraph" w:styleId="Buborkszveg">
    <w:name w:val="Balloon Text"/>
    <w:basedOn w:val="Norml"/>
    <w:link w:val="BuborkszvegChar"/>
    <w:uiPriority w:val="99"/>
    <w:semiHidden/>
    <w:unhideWhenUsed/>
    <w:rsid w:val="00B751F3"/>
    <w:rPr>
      <w:rFonts w:ascii="Segoe UI" w:hAnsi="Segoe UI"/>
      <w:sz w:val="18"/>
      <w:szCs w:val="16"/>
    </w:rPr>
  </w:style>
  <w:style w:type="character" w:customStyle="1" w:styleId="BuborkszvegChar">
    <w:name w:val="Buborékszöveg Char"/>
    <w:basedOn w:val="Bekezdsalapbettpusa"/>
    <w:link w:val="Buborkszveg"/>
    <w:uiPriority w:val="99"/>
    <w:semiHidden/>
    <w:rsid w:val="00B751F3"/>
    <w:rPr>
      <w:rFonts w:ascii="Segoe UI" w:eastAsia="SimSun" w:hAnsi="Segoe UI" w:cs="Mangal"/>
      <w:kern w:val="1"/>
      <w:sz w:val="18"/>
      <w:szCs w:val="16"/>
      <w:lang w:eastAsia="zh-CN" w:bidi="hi-IN"/>
    </w:rPr>
  </w:style>
  <w:style w:type="character" w:styleId="Jegyzethivatkozs">
    <w:name w:val="annotation reference"/>
    <w:basedOn w:val="Bekezdsalapbettpusa"/>
    <w:uiPriority w:val="99"/>
    <w:semiHidden/>
    <w:unhideWhenUsed/>
    <w:rsid w:val="00B751F3"/>
    <w:rPr>
      <w:sz w:val="16"/>
      <w:szCs w:val="16"/>
    </w:rPr>
  </w:style>
  <w:style w:type="paragraph" w:styleId="Jegyzetszveg">
    <w:name w:val="annotation text"/>
    <w:basedOn w:val="Norml"/>
    <w:link w:val="JegyzetszvegChar"/>
    <w:uiPriority w:val="99"/>
    <w:semiHidden/>
    <w:unhideWhenUsed/>
    <w:rsid w:val="00B751F3"/>
    <w:rPr>
      <w:sz w:val="20"/>
      <w:szCs w:val="18"/>
    </w:rPr>
  </w:style>
  <w:style w:type="character" w:customStyle="1" w:styleId="JegyzetszvegChar">
    <w:name w:val="Jegyzetszöveg Char"/>
    <w:basedOn w:val="Bekezdsalapbettpusa"/>
    <w:link w:val="Jegyzetszveg"/>
    <w:uiPriority w:val="99"/>
    <w:semiHidden/>
    <w:rsid w:val="00B751F3"/>
    <w:rPr>
      <w:rFonts w:eastAsia="SimSun" w:cs="Mangal"/>
      <w:kern w:val="1"/>
      <w:szCs w:val="18"/>
      <w:lang w:eastAsia="zh-CN" w:bidi="hi-IN"/>
    </w:rPr>
  </w:style>
  <w:style w:type="paragraph" w:styleId="Megjegyzstrgya">
    <w:name w:val="annotation subject"/>
    <w:basedOn w:val="Jegyzetszveg"/>
    <w:next w:val="Jegyzetszveg"/>
    <w:link w:val="MegjegyzstrgyaChar"/>
    <w:uiPriority w:val="99"/>
    <w:semiHidden/>
    <w:unhideWhenUsed/>
    <w:rsid w:val="00B751F3"/>
    <w:rPr>
      <w:b/>
      <w:bCs/>
    </w:rPr>
  </w:style>
  <w:style w:type="character" w:customStyle="1" w:styleId="MegjegyzstrgyaChar">
    <w:name w:val="Megjegyzés tárgya Char"/>
    <w:basedOn w:val="JegyzetszvegChar"/>
    <w:link w:val="Megjegyzstrgya"/>
    <w:uiPriority w:val="99"/>
    <w:semiHidden/>
    <w:rsid w:val="00B751F3"/>
    <w:rPr>
      <w:rFonts w:eastAsia="SimSun" w:cs="Mangal"/>
      <w:b/>
      <w:bCs/>
      <w:kern w:val="1"/>
      <w:szCs w:val="18"/>
      <w:lang w:eastAsia="zh-CN" w:bidi="hi-IN"/>
    </w:rPr>
  </w:style>
  <w:style w:type="paragraph" w:customStyle="1" w:styleId="m-1311302893701788514msolistparagraph">
    <w:name w:val="m_-1311302893701788514msolistparagraph"/>
    <w:basedOn w:val="Norml"/>
    <w:rsid w:val="00B751F3"/>
    <w:pPr>
      <w:widowControl/>
      <w:suppressAutoHyphens w:val="0"/>
      <w:spacing w:before="100" w:beforeAutospacing="1" w:after="100" w:afterAutospacing="1"/>
    </w:pPr>
    <w:rPr>
      <w:rFonts w:eastAsiaTheme="minorHAnsi" w:cs="Times New Roman"/>
      <w:kern w:val="0"/>
      <w:lang w:eastAsia="hu-HU" w:bidi="ar-SA"/>
    </w:rPr>
  </w:style>
  <w:style w:type="paragraph" w:styleId="Listaszerbekezds">
    <w:name w:val="List Paragraph"/>
    <w:basedOn w:val="Norml"/>
    <w:uiPriority w:val="34"/>
    <w:qFormat/>
    <w:rsid w:val="001C101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1218</Words>
  <Characters>8407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gyorgyics</dc:creator>
  <cp:keywords/>
  <cp:lastModifiedBy>Ternovácz Bálint</cp:lastModifiedBy>
  <cp:revision>8</cp:revision>
  <cp:lastPrinted>1899-12-31T23:00:00Z</cp:lastPrinted>
  <dcterms:created xsi:type="dcterms:W3CDTF">2021-09-17T12:05:00Z</dcterms:created>
  <dcterms:modified xsi:type="dcterms:W3CDTF">2023-05-10T07:04:00Z</dcterms:modified>
</cp:coreProperties>
</file>